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7" w:rsidRPr="00946DF5" w:rsidRDefault="00946DF5" w:rsidP="00946DF5">
      <w:pPr>
        <w:widowControl/>
        <w:shd w:val="clear" w:color="auto" w:fill="FFFFFF"/>
        <w:spacing w:after="240" w:line="4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715D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國立高雄大學通識課程修習學分認定細則</w:t>
      </w:r>
      <w:bookmarkStart w:id="0" w:name="top"/>
      <w:bookmarkEnd w:id="0"/>
    </w:p>
    <w:p w:rsidR="00946DF5" w:rsidRPr="0043701F" w:rsidRDefault="00946DF5" w:rsidP="00946DF5">
      <w:pPr>
        <w:spacing w:line="240" w:lineRule="atLeast"/>
        <w:rPr>
          <w:rFonts w:ascii="標楷體" w:eastAsia="標楷體" w:hAnsi="標楷體"/>
          <w:kern w:val="0"/>
          <w:sz w:val="20"/>
          <w:szCs w:val="20"/>
        </w:rPr>
      </w:pPr>
      <w:r w:rsidRPr="0043701F">
        <w:rPr>
          <w:rFonts w:ascii="標楷體" w:eastAsia="標楷體" w:hAnsi="標楷體"/>
          <w:kern w:val="0"/>
          <w:sz w:val="20"/>
          <w:szCs w:val="20"/>
        </w:rPr>
        <w:t>100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3701F">
        <w:rPr>
          <w:rFonts w:ascii="標楷體" w:eastAsia="標楷體" w:hAnsi="標楷體"/>
          <w:kern w:val="0"/>
          <w:sz w:val="20"/>
          <w:szCs w:val="20"/>
        </w:rPr>
        <w:t>5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3701F">
        <w:rPr>
          <w:rFonts w:ascii="標楷體" w:eastAsia="標楷體" w:hAnsi="標楷體"/>
          <w:kern w:val="0"/>
          <w:sz w:val="20"/>
          <w:szCs w:val="20"/>
        </w:rPr>
        <w:t>31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3701F">
        <w:rPr>
          <w:rFonts w:ascii="標楷體" w:eastAsia="標楷體" w:hAnsi="標楷體"/>
          <w:kern w:val="0"/>
          <w:sz w:val="20"/>
          <w:szCs w:val="20"/>
        </w:rPr>
        <w:t>99</w:t>
      </w:r>
      <w:proofErr w:type="gramStart"/>
      <w:r w:rsidRPr="0043701F">
        <w:rPr>
          <w:rFonts w:ascii="標楷體" w:eastAsia="標楷體" w:hAnsi="標楷體" w:hint="eastAsia"/>
          <w:kern w:val="0"/>
          <w:sz w:val="20"/>
          <w:szCs w:val="20"/>
        </w:rPr>
        <w:t>學年度</w:t>
      </w:r>
      <w:r>
        <w:rPr>
          <w:rFonts w:ascii="標楷體" w:eastAsia="標楷體" w:hAnsi="標楷體" w:hint="eastAsia"/>
          <w:kern w:val="0"/>
          <w:sz w:val="20"/>
          <w:szCs w:val="20"/>
        </w:rPr>
        <w:t>通識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教育中心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43701F">
        <w:rPr>
          <w:rFonts w:ascii="標楷體" w:eastAsia="標楷體" w:hAnsi="標楷體"/>
          <w:kern w:val="0"/>
          <w:sz w:val="20"/>
          <w:szCs w:val="20"/>
        </w:rPr>
        <w:t>2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次課程委會議通過</w:t>
      </w:r>
      <w:r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Pr="0043701F">
        <w:rPr>
          <w:rFonts w:ascii="標楷體" w:eastAsia="標楷體" w:hAnsi="標楷體"/>
          <w:kern w:val="0"/>
          <w:sz w:val="20"/>
          <w:szCs w:val="20"/>
        </w:rPr>
        <w:t>100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3701F">
        <w:rPr>
          <w:rFonts w:ascii="標楷體" w:eastAsia="標楷體" w:hAnsi="標楷體"/>
          <w:kern w:val="0"/>
          <w:sz w:val="20"/>
          <w:szCs w:val="20"/>
        </w:rPr>
        <w:t>6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3701F">
        <w:rPr>
          <w:rFonts w:ascii="標楷體" w:eastAsia="標楷體" w:hAnsi="標楷體"/>
          <w:kern w:val="0"/>
          <w:sz w:val="20"/>
          <w:szCs w:val="20"/>
        </w:rPr>
        <w:t>7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日</w:t>
      </w:r>
      <w:r>
        <w:rPr>
          <w:rFonts w:ascii="標楷體" w:eastAsia="標楷體" w:hAnsi="標楷體"/>
          <w:kern w:val="0"/>
          <w:sz w:val="20"/>
          <w:szCs w:val="20"/>
        </w:rPr>
        <w:t>100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學年度</w:t>
      </w:r>
      <w:r>
        <w:rPr>
          <w:rFonts w:ascii="標楷體" w:eastAsia="標楷體" w:hAnsi="標楷體" w:hint="eastAsia"/>
          <w:kern w:val="0"/>
          <w:sz w:val="20"/>
          <w:szCs w:val="20"/>
        </w:rPr>
        <w:t>第</w:t>
      </w:r>
      <w:r>
        <w:rPr>
          <w:rFonts w:ascii="標楷體" w:eastAsia="標楷體" w:hAnsi="標楷體"/>
          <w:kern w:val="0"/>
          <w:sz w:val="20"/>
          <w:szCs w:val="20"/>
        </w:rPr>
        <w:t>2</w:t>
      </w:r>
      <w:r>
        <w:rPr>
          <w:rFonts w:ascii="標楷體" w:eastAsia="標楷體" w:hAnsi="標楷體" w:hint="eastAsia"/>
          <w:kern w:val="0"/>
          <w:sz w:val="20"/>
          <w:szCs w:val="20"/>
        </w:rPr>
        <w:t>次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校課程委員會議通過</w:t>
      </w:r>
    </w:p>
    <w:p w:rsidR="00946DF5" w:rsidRPr="0043701F" w:rsidRDefault="00946DF5" w:rsidP="00946DF5">
      <w:pPr>
        <w:spacing w:line="240" w:lineRule="atLeast"/>
        <w:rPr>
          <w:rFonts w:ascii="標楷體" w:eastAsia="標楷體" w:hAnsi="標楷體"/>
          <w:kern w:val="0"/>
          <w:sz w:val="20"/>
          <w:szCs w:val="20"/>
        </w:rPr>
      </w:pPr>
      <w:r w:rsidRPr="0043701F">
        <w:rPr>
          <w:rFonts w:ascii="標楷體" w:eastAsia="標楷體" w:hAnsi="標楷體"/>
          <w:kern w:val="0"/>
          <w:sz w:val="20"/>
          <w:szCs w:val="20"/>
        </w:rPr>
        <w:t>101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3701F">
        <w:rPr>
          <w:rFonts w:ascii="標楷體" w:eastAsia="標楷體" w:hAnsi="標楷體"/>
          <w:kern w:val="0"/>
          <w:sz w:val="20"/>
          <w:szCs w:val="20"/>
        </w:rPr>
        <w:t>3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3701F">
        <w:rPr>
          <w:rFonts w:ascii="標楷體" w:eastAsia="標楷體" w:hAnsi="標楷體"/>
          <w:kern w:val="0"/>
          <w:sz w:val="20"/>
          <w:szCs w:val="20"/>
        </w:rPr>
        <w:t>22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kern w:val="0"/>
          <w:sz w:val="20"/>
          <w:szCs w:val="20"/>
        </w:rPr>
        <w:t>通識教育中心</w:t>
      </w:r>
      <w:r w:rsidRPr="0043701F">
        <w:rPr>
          <w:rFonts w:ascii="標楷體" w:eastAsia="標楷體" w:hAnsi="標楷體"/>
          <w:kern w:val="0"/>
          <w:sz w:val="20"/>
          <w:szCs w:val="20"/>
        </w:rPr>
        <w:t>100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3701F">
        <w:rPr>
          <w:rFonts w:ascii="標楷體" w:eastAsia="標楷體" w:hAnsi="標楷體"/>
          <w:kern w:val="0"/>
          <w:sz w:val="20"/>
          <w:szCs w:val="20"/>
        </w:rPr>
        <w:t>2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次課程委員會議修正通過</w:t>
      </w:r>
    </w:p>
    <w:p w:rsidR="00946DF5" w:rsidRDefault="00946DF5" w:rsidP="00946DF5">
      <w:pPr>
        <w:spacing w:line="240" w:lineRule="atLeast"/>
        <w:rPr>
          <w:rFonts w:ascii="標楷體" w:eastAsia="標楷體" w:hAnsi="標楷體"/>
          <w:kern w:val="0"/>
          <w:sz w:val="20"/>
          <w:szCs w:val="20"/>
        </w:rPr>
      </w:pPr>
      <w:r w:rsidRPr="0043701F">
        <w:rPr>
          <w:rFonts w:ascii="標楷體" w:eastAsia="標楷體" w:hAnsi="標楷體"/>
          <w:kern w:val="0"/>
          <w:sz w:val="20"/>
          <w:szCs w:val="20"/>
        </w:rPr>
        <w:t>101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3701F">
        <w:rPr>
          <w:rFonts w:ascii="標楷體" w:eastAsia="標楷體" w:hAnsi="標楷體"/>
          <w:kern w:val="0"/>
          <w:sz w:val="20"/>
          <w:szCs w:val="20"/>
        </w:rPr>
        <w:t>6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3701F">
        <w:rPr>
          <w:rFonts w:ascii="標楷體" w:eastAsia="標楷體" w:hAnsi="標楷體"/>
          <w:kern w:val="0"/>
          <w:sz w:val="20"/>
          <w:szCs w:val="20"/>
        </w:rPr>
        <w:t>26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kern w:val="0"/>
          <w:sz w:val="20"/>
          <w:szCs w:val="20"/>
        </w:rPr>
        <w:t>通識教育中心</w:t>
      </w:r>
      <w:r w:rsidRPr="0043701F">
        <w:rPr>
          <w:rFonts w:ascii="標楷體" w:eastAsia="標楷體" w:hAnsi="標楷體"/>
          <w:kern w:val="0"/>
          <w:sz w:val="20"/>
          <w:szCs w:val="20"/>
        </w:rPr>
        <w:t>100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3701F">
        <w:rPr>
          <w:rFonts w:ascii="標楷體" w:eastAsia="標楷體" w:hAnsi="標楷體"/>
          <w:kern w:val="0"/>
          <w:sz w:val="20"/>
          <w:szCs w:val="20"/>
        </w:rPr>
        <w:t>4</w:t>
      </w:r>
      <w:r w:rsidRPr="0043701F">
        <w:rPr>
          <w:rFonts w:ascii="標楷體" w:eastAsia="標楷體" w:hAnsi="標楷體" w:hint="eastAsia"/>
          <w:kern w:val="0"/>
          <w:sz w:val="20"/>
          <w:szCs w:val="20"/>
        </w:rPr>
        <w:t>次課程委員會議修正通過</w:t>
      </w:r>
    </w:p>
    <w:p w:rsidR="00946DF5" w:rsidRDefault="00946DF5" w:rsidP="00946DF5">
      <w:pPr>
        <w:spacing w:line="240" w:lineRule="atLeast"/>
        <w:rPr>
          <w:rFonts w:ascii="標楷體" w:eastAsia="標楷體" w:hAnsi="標楷體"/>
          <w:kern w:val="0"/>
          <w:sz w:val="20"/>
          <w:szCs w:val="20"/>
        </w:rPr>
      </w:pPr>
      <w:r w:rsidRPr="008E3C1C">
        <w:rPr>
          <w:rFonts w:ascii="標楷體" w:eastAsia="標楷體" w:hAnsi="標楷體" w:hint="eastAsia"/>
          <w:kern w:val="0"/>
          <w:sz w:val="20"/>
          <w:szCs w:val="20"/>
        </w:rPr>
        <w:t>104年1月14日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通識教育中心</w:t>
      </w:r>
      <w:r>
        <w:rPr>
          <w:rFonts w:ascii="標楷體" w:eastAsia="標楷體" w:hAnsi="標楷體" w:hint="eastAsia"/>
          <w:kern w:val="0"/>
          <w:sz w:val="20"/>
          <w:szCs w:val="20"/>
        </w:rPr>
        <w:t>103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kern w:val="0"/>
          <w:sz w:val="20"/>
          <w:szCs w:val="20"/>
        </w:rPr>
        <w:t>4次中心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會議</w:t>
      </w:r>
      <w:r>
        <w:rPr>
          <w:rFonts w:ascii="標楷體" w:eastAsia="標楷體" w:hAnsi="標楷體" w:hint="eastAsia"/>
          <w:kern w:val="0"/>
          <w:sz w:val="20"/>
          <w:szCs w:val="20"/>
        </w:rPr>
        <w:t>修正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F70D13">
        <w:rPr>
          <w:rFonts w:ascii="標楷體" w:eastAsia="標楷體" w:hAnsi="標楷體"/>
          <w:kern w:val="0"/>
          <w:sz w:val="20"/>
          <w:szCs w:val="20"/>
        </w:rPr>
        <w:t>7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8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9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條</w:t>
      </w:r>
      <w:r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104年</w:t>
      </w:r>
      <w:r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kern w:val="0"/>
          <w:sz w:val="20"/>
          <w:szCs w:val="20"/>
        </w:rPr>
        <w:t>12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通識教育中心</w:t>
      </w:r>
      <w:r>
        <w:rPr>
          <w:rFonts w:ascii="標楷體" w:eastAsia="標楷體" w:hAnsi="標楷體" w:hint="eastAsia"/>
          <w:kern w:val="0"/>
          <w:sz w:val="20"/>
          <w:szCs w:val="20"/>
        </w:rPr>
        <w:t>103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kern w:val="0"/>
          <w:sz w:val="20"/>
          <w:szCs w:val="20"/>
        </w:rPr>
        <w:t>6次中心</w:t>
      </w:r>
      <w:r w:rsidRPr="00453F46">
        <w:rPr>
          <w:rFonts w:ascii="標楷體" w:eastAsia="標楷體" w:hAnsi="標楷體" w:hint="eastAsia"/>
          <w:kern w:val="0"/>
          <w:sz w:val="20"/>
          <w:szCs w:val="20"/>
        </w:rPr>
        <w:t>會議</w:t>
      </w:r>
      <w:r>
        <w:rPr>
          <w:rFonts w:ascii="標楷體" w:eastAsia="標楷體" w:hAnsi="標楷體" w:hint="eastAsia"/>
          <w:kern w:val="0"/>
          <w:sz w:val="20"/>
          <w:szCs w:val="20"/>
        </w:rPr>
        <w:t>修正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F70D13">
        <w:rPr>
          <w:rFonts w:ascii="標楷體" w:eastAsia="標楷體" w:hAnsi="標楷體"/>
          <w:kern w:val="0"/>
          <w:sz w:val="20"/>
          <w:szCs w:val="20"/>
        </w:rPr>
        <w:t>7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8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9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條</w:t>
      </w:r>
      <w:r>
        <w:rPr>
          <w:rFonts w:ascii="標楷體" w:eastAsia="標楷體" w:hAnsi="標楷體" w:hint="eastAsia"/>
          <w:kern w:val="0"/>
          <w:sz w:val="20"/>
          <w:szCs w:val="20"/>
        </w:rPr>
        <w:t>及附錄1，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104年5月19日通識教育中心103學年度第2次課程委員會議</w:t>
      </w:r>
      <w:r>
        <w:rPr>
          <w:rFonts w:ascii="標楷體" w:eastAsia="標楷體" w:hAnsi="標楷體" w:hint="eastAsia"/>
          <w:kern w:val="0"/>
          <w:sz w:val="20"/>
          <w:szCs w:val="20"/>
        </w:rPr>
        <w:t>修正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F70D13">
        <w:rPr>
          <w:rFonts w:ascii="標楷體" w:eastAsia="標楷體" w:hAnsi="標楷體"/>
          <w:kern w:val="0"/>
          <w:sz w:val="20"/>
          <w:szCs w:val="20"/>
        </w:rPr>
        <w:t>7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8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9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條</w:t>
      </w:r>
      <w:r>
        <w:rPr>
          <w:rFonts w:ascii="標楷體" w:eastAsia="標楷體" w:hAnsi="標楷體" w:hint="eastAsia"/>
          <w:kern w:val="0"/>
          <w:sz w:val="20"/>
          <w:szCs w:val="20"/>
        </w:rPr>
        <w:t>及附錄1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，104</w:t>
      </w:r>
      <w:r w:rsidRPr="008E3C1C">
        <w:rPr>
          <w:rFonts w:ascii="標楷體" w:eastAsia="標楷體" w:hAnsi="標楷體"/>
          <w:kern w:val="0"/>
          <w:sz w:val="20"/>
          <w:szCs w:val="20"/>
        </w:rPr>
        <w:t>年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8E3C1C">
        <w:rPr>
          <w:rFonts w:ascii="標楷體" w:eastAsia="標楷體" w:hAnsi="標楷體"/>
          <w:kern w:val="0"/>
          <w:sz w:val="20"/>
          <w:szCs w:val="20"/>
        </w:rPr>
        <w:t>月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26</w:t>
      </w:r>
      <w:r w:rsidRPr="008E3C1C">
        <w:rPr>
          <w:rFonts w:ascii="標楷體" w:eastAsia="標楷體" w:hAnsi="標楷體"/>
          <w:kern w:val="0"/>
          <w:sz w:val="20"/>
          <w:szCs w:val="20"/>
        </w:rPr>
        <w:t>日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103學年度</w:t>
      </w:r>
      <w:r w:rsidRPr="008E3C1C">
        <w:rPr>
          <w:rFonts w:ascii="標楷體" w:eastAsia="標楷體" w:hAnsi="標楷體"/>
          <w:kern w:val="0"/>
          <w:sz w:val="20"/>
          <w:szCs w:val="20"/>
        </w:rPr>
        <w:t>第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8E3C1C">
        <w:rPr>
          <w:rFonts w:ascii="標楷體" w:eastAsia="標楷體" w:hAnsi="標楷體"/>
          <w:kern w:val="0"/>
          <w:sz w:val="20"/>
          <w:szCs w:val="20"/>
        </w:rPr>
        <w:t>次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教務</w:t>
      </w:r>
      <w:r w:rsidRPr="008E3C1C">
        <w:rPr>
          <w:rFonts w:ascii="標楷體" w:eastAsia="標楷體" w:hAnsi="標楷體"/>
          <w:kern w:val="0"/>
          <w:sz w:val="20"/>
          <w:szCs w:val="20"/>
        </w:rPr>
        <w:t>會議</w:t>
      </w:r>
      <w:r>
        <w:rPr>
          <w:rFonts w:ascii="標楷體" w:eastAsia="標楷體" w:hAnsi="標楷體" w:hint="eastAsia"/>
          <w:kern w:val="0"/>
          <w:sz w:val="20"/>
          <w:szCs w:val="20"/>
        </w:rPr>
        <w:t>修正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F70D13">
        <w:rPr>
          <w:rFonts w:ascii="標楷體" w:eastAsia="標楷體" w:hAnsi="標楷體"/>
          <w:kern w:val="0"/>
          <w:sz w:val="20"/>
          <w:szCs w:val="20"/>
        </w:rPr>
        <w:t>7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8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、</w:t>
      </w:r>
      <w:r w:rsidRPr="00F70D13">
        <w:rPr>
          <w:rFonts w:ascii="標楷體" w:eastAsia="標楷體" w:hAnsi="標楷體"/>
          <w:kern w:val="0"/>
          <w:sz w:val="20"/>
          <w:szCs w:val="20"/>
        </w:rPr>
        <w:t>9</w:t>
      </w:r>
      <w:r w:rsidRPr="00F70D13">
        <w:rPr>
          <w:rFonts w:ascii="標楷體" w:eastAsia="標楷體" w:hAnsi="標楷體" w:hint="eastAsia"/>
          <w:kern w:val="0"/>
          <w:sz w:val="20"/>
          <w:szCs w:val="20"/>
        </w:rPr>
        <w:t>條</w:t>
      </w:r>
      <w:r>
        <w:rPr>
          <w:rFonts w:ascii="標楷體" w:eastAsia="標楷體" w:hAnsi="標楷體" w:hint="eastAsia"/>
          <w:kern w:val="0"/>
          <w:sz w:val="20"/>
          <w:szCs w:val="20"/>
        </w:rPr>
        <w:t>及附錄1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Pr="00D540DD">
        <w:rPr>
          <w:rFonts w:ascii="標楷體" w:eastAsia="標楷體" w:hAnsi="標楷體"/>
          <w:kern w:val="0"/>
          <w:sz w:val="20"/>
          <w:szCs w:val="20"/>
        </w:rPr>
        <w:t>104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D540DD">
        <w:rPr>
          <w:rFonts w:ascii="標楷體" w:eastAsia="標楷體" w:hAnsi="標楷體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D540DD">
        <w:rPr>
          <w:rFonts w:ascii="標楷體" w:eastAsia="標楷體" w:hAnsi="標楷體"/>
          <w:kern w:val="0"/>
          <w:sz w:val="20"/>
          <w:szCs w:val="20"/>
        </w:rPr>
        <w:t>26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日校長核定，</w:t>
      </w:r>
      <w:r w:rsidRPr="00D540DD">
        <w:rPr>
          <w:rFonts w:ascii="標楷體" w:eastAsia="標楷體" w:hAnsi="標楷體"/>
          <w:kern w:val="0"/>
          <w:sz w:val="20"/>
          <w:szCs w:val="20"/>
        </w:rPr>
        <w:t>104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D540DD">
        <w:rPr>
          <w:rFonts w:ascii="標楷體" w:eastAsia="標楷體" w:hAnsi="標楷體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D540DD">
        <w:rPr>
          <w:rFonts w:ascii="標楷體" w:eastAsia="標楷體" w:hAnsi="標楷體"/>
          <w:kern w:val="0"/>
          <w:sz w:val="20"/>
          <w:szCs w:val="20"/>
        </w:rPr>
        <w:t>30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日發布</w:t>
      </w:r>
    </w:p>
    <w:p w:rsidR="00ED2D12" w:rsidRDefault="00ED2D12" w:rsidP="005F027B">
      <w:pPr>
        <w:widowControl/>
        <w:spacing w:line="240" w:lineRule="atLeast"/>
        <w:rPr>
          <w:rFonts w:eastAsia="標楷體"/>
          <w:kern w:val="0"/>
          <w:sz w:val="20"/>
          <w:szCs w:val="20"/>
        </w:rPr>
      </w:pPr>
      <w:r w:rsidRPr="005F027B">
        <w:rPr>
          <w:rFonts w:eastAsia="標楷體"/>
          <w:kern w:val="0"/>
          <w:sz w:val="20"/>
          <w:szCs w:val="20"/>
        </w:rPr>
        <w:t>104</w:t>
      </w:r>
      <w:r w:rsidRPr="005F027B">
        <w:rPr>
          <w:rFonts w:eastAsia="標楷體" w:hint="eastAsia"/>
          <w:kern w:val="0"/>
          <w:sz w:val="20"/>
          <w:szCs w:val="20"/>
        </w:rPr>
        <w:t>年</w:t>
      </w:r>
      <w:r w:rsidRPr="005F027B">
        <w:rPr>
          <w:rFonts w:eastAsia="標楷體"/>
          <w:kern w:val="0"/>
          <w:sz w:val="20"/>
          <w:szCs w:val="20"/>
        </w:rPr>
        <w:t>4</w:t>
      </w:r>
      <w:r w:rsidRPr="005F027B">
        <w:rPr>
          <w:rFonts w:eastAsia="標楷體" w:hint="eastAsia"/>
          <w:kern w:val="0"/>
          <w:sz w:val="20"/>
          <w:szCs w:val="20"/>
        </w:rPr>
        <w:t>月</w:t>
      </w:r>
      <w:r w:rsidRPr="005F027B">
        <w:rPr>
          <w:rFonts w:eastAsia="標楷體"/>
          <w:kern w:val="0"/>
          <w:sz w:val="20"/>
          <w:szCs w:val="20"/>
        </w:rPr>
        <w:t>10</w:t>
      </w:r>
      <w:r w:rsidRPr="005F027B">
        <w:rPr>
          <w:rFonts w:eastAsia="標楷體" w:hint="eastAsia"/>
          <w:kern w:val="0"/>
          <w:sz w:val="20"/>
          <w:szCs w:val="20"/>
        </w:rPr>
        <w:t>日第</w:t>
      </w:r>
      <w:r w:rsidRPr="005F027B">
        <w:rPr>
          <w:rFonts w:eastAsia="標楷體"/>
          <w:kern w:val="0"/>
          <w:sz w:val="20"/>
          <w:szCs w:val="20"/>
        </w:rPr>
        <w:t>144</w:t>
      </w:r>
      <w:r w:rsidR="005F027B" w:rsidRPr="005F027B">
        <w:rPr>
          <w:rFonts w:eastAsia="標楷體" w:hint="eastAsia"/>
          <w:kern w:val="0"/>
          <w:sz w:val="20"/>
          <w:szCs w:val="20"/>
        </w:rPr>
        <w:t>次行政會議格式修正</w:t>
      </w:r>
    </w:p>
    <w:p w:rsidR="005A173D" w:rsidRPr="005A173D" w:rsidRDefault="005A173D" w:rsidP="005A173D">
      <w:pPr>
        <w:spacing w:line="240" w:lineRule="atLeast"/>
        <w:rPr>
          <w:rFonts w:ascii="標楷體" w:eastAsia="標楷體" w:hAnsi="標楷體"/>
          <w:kern w:val="0"/>
          <w:sz w:val="20"/>
          <w:szCs w:val="20"/>
        </w:rPr>
      </w:pPr>
      <w:r w:rsidRPr="005A173D">
        <w:rPr>
          <w:rFonts w:ascii="標楷體" w:eastAsia="標楷體" w:hAnsi="標楷體"/>
          <w:kern w:val="0"/>
          <w:sz w:val="20"/>
          <w:szCs w:val="20"/>
        </w:rPr>
        <w:t>10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6年4月</w:t>
      </w:r>
      <w:r w:rsidRPr="005A173D">
        <w:rPr>
          <w:rFonts w:ascii="標楷體" w:eastAsia="標楷體" w:hAnsi="標楷體"/>
          <w:kern w:val="0"/>
          <w:sz w:val="20"/>
          <w:szCs w:val="20"/>
        </w:rPr>
        <w:t>1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1日</w:t>
      </w:r>
      <w:r w:rsidRPr="005A173D">
        <w:rPr>
          <w:rFonts w:ascii="標楷體" w:eastAsia="標楷體" w:hAnsi="標楷體"/>
          <w:kern w:val="0"/>
          <w:sz w:val="20"/>
          <w:szCs w:val="20"/>
        </w:rPr>
        <w:t>105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學年度第6次中心會議新增第6之1條；；</w:t>
      </w:r>
      <w:r w:rsidRPr="005A173D">
        <w:rPr>
          <w:rFonts w:ascii="標楷體" w:eastAsia="標楷體" w:hAnsi="標楷體"/>
          <w:kern w:val="0"/>
          <w:sz w:val="20"/>
          <w:szCs w:val="20"/>
        </w:rPr>
        <w:t>10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6年5月23日</w:t>
      </w:r>
      <w:r w:rsidRPr="005A173D">
        <w:rPr>
          <w:rFonts w:ascii="標楷體" w:eastAsia="標楷體" w:hAnsi="標楷體"/>
          <w:kern w:val="0"/>
          <w:sz w:val="20"/>
          <w:szCs w:val="20"/>
        </w:rPr>
        <w:t>105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學年度第2次中心課程委員會新增第6之1條；</w:t>
      </w:r>
      <w:r>
        <w:rPr>
          <w:rFonts w:ascii="標楷體" w:eastAsia="標楷體" w:hAnsi="標楷體" w:hint="eastAsia"/>
          <w:kern w:val="0"/>
          <w:sz w:val="20"/>
          <w:szCs w:val="20"/>
        </w:rPr>
        <w:t>106</w:t>
      </w:r>
      <w:r w:rsidRPr="008E3C1C">
        <w:rPr>
          <w:rFonts w:ascii="標楷體" w:eastAsia="標楷體" w:hAnsi="標楷體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kern w:val="0"/>
          <w:sz w:val="20"/>
          <w:szCs w:val="20"/>
        </w:rPr>
        <w:t>6</w:t>
      </w:r>
      <w:r w:rsidRPr="008E3C1C">
        <w:rPr>
          <w:rFonts w:ascii="標楷體" w:eastAsia="標楷體" w:hAnsi="標楷體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8E3C1C">
        <w:rPr>
          <w:rFonts w:ascii="標楷體" w:eastAsia="標楷體" w:hAnsi="標楷體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kern w:val="0"/>
          <w:sz w:val="20"/>
          <w:szCs w:val="20"/>
        </w:rPr>
        <w:t>105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學年度</w:t>
      </w:r>
      <w:r w:rsidRPr="008E3C1C">
        <w:rPr>
          <w:rFonts w:ascii="標楷體" w:eastAsia="標楷體" w:hAnsi="標楷體"/>
          <w:kern w:val="0"/>
          <w:sz w:val="20"/>
          <w:szCs w:val="20"/>
        </w:rPr>
        <w:t>第</w:t>
      </w:r>
      <w:r>
        <w:rPr>
          <w:rFonts w:ascii="標楷體" w:eastAsia="標楷體" w:hAnsi="標楷體" w:hint="eastAsia"/>
          <w:kern w:val="0"/>
          <w:sz w:val="20"/>
          <w:szCs w:val="20"/>
        </w:rPr>
        <w:t>4</w:t>
      </w:r>
      <w:r w:rsidRPr="008E3C1C">
        <w:rPr>
          <w:rFonts w:ascii="標楷體" w:eastAsia="標楷體" w:hAnsi="標楷體"/>
          <w:kern w:val="0"/>
          <w:sz w:val="20"/>
          <w:szCs w:val="20"/>
        </w:rPr>
        <w:t>次</w:t>
      </w:r>
      <w:r w:rsidRPr="008E3C1C">
        <w:rPr>
          <w:rFonts w:ascii="標楷體" w:eastAsia="標楷體" w:hAnsi="標楷體" w:hint="eastAsia"/>
          <w:kern w:val="0"/>
          <w:sz w:val="20"/>
          <w:szCs w:val="20"/>
        </w:rPr>
        <w:t>教務</w:t>
      </w:r>
      <w:r w:rsidRPr="008E3C1C">
        <w:rPr>
          <w:rFonts w:ascii="標楷體" w:eastAsia="標楷體" w:hAnsi="標楷體"/>
          <w:kern w:val="0"/>
          <w:sz w:val="20"/>
          <w:szCs w:val="20"/>
        </w:rPr>
        <w:t>會議</w:t>
      </w:r>
      <w:r w:rsidRPr="005A173D">
        <w:rPr>
          <w:rFonts w:ascii="標楷體" w:eastAsia="標楷體" w:hAnsi="標楷體" w:hint="eastAsia"/>
          <w:kern w:val="0"/>
          <w:sz w:val="20"/>
          <w:szCs w:val="20"/>
        </w:rPr>
        <w:t>新增第6之1條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，</w:t>
      </w:r>
      <w:r>
        <w:rPr>
          <w:rFonts w:ascii="標楷體" w:eastAsia="標楷體" w:hAnsi="標楷體"/>
          <w:kern w:val="0"/>
          <w:sz w:val="20"/>
          <w:szCs w:val="20"/>
        </w:rPr>
        <w:t>10</w:t>
      </w:r>
      <w:r>
        <w:rPr>
          <w:rFonts w:ascii="標楷體" w:eastAsia="標楷體" w:hAnsi="標楷體" w:hint="eastAsia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D540DD">
        <w:rPr>
          <w:rFonts w:ascii="標楷體" w:eastAsia="標楷體" w:hAnsi="標楷體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kern w:val="0"/>
          <w:sz w:val="20"/>
          <w:szCs w:val="20"/>
        </w:rPr>
        <w:t>7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日校長核定，</w:t>
      </w:r>
      <w:r>
        <w:rPr>
          <w:rFonts w:ascii="標楷體" w:eastAsia="標楷體" w:hAnsi="標楷體"/>
          <w:kern w:val="0"/>
          <w:sz w:val="20"/>
          <w:szCs w:val="20"/>
        </w:rPr>
        <w:t>10</w:t>
      </w:r>
      <w:r>
        <w:rPr>
          <w:rFonts w:ascii="標楷體" w:eastAsia="標楷體" w:hAnsi="標楷體" w:hint="eastAsia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D540DD">
        <w:rPr>
          <w:rFonts w:ascii="標楷體" w:eastAsia="標楷體" w:hAnsi="標楷體"/>
          <w:kern w:val="0"/>
          <w:sz w:val="20"/>
          <w:szCs w:val="20"/>
        </w:rPr>
        <w:t>6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/>
          <w:kern w:val="0"/>
          <w:sz w:val="20"/>
          <w:szCs w:val="20"/>
        </w:rPr>
        <w:t>8</w:t>
      </w:r>
      <w:r w:rsidRPr="00D540DD">
        <w:rPr>
          <w:rFonts w:ascii="標楷體" w:eastAsia="標楷體" w:hAnsi="標楷體" w:hint="eastAsia"/>
          <w:kern w:val="0"/>
          <w:sz w:val="20"/>
          <w:szCs w:val="20"/>
        </w:rPr>
        <w:t>日發布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5F027B" w:rsidRPr="005F027B" w:rsidTr="005F027B">
        <w:trPr>
          <w:trHeight w:val="1080"/>
        </w:trPr>
        <w:tc>
          <w:tcPr>
            <w:tcW w:w="9180" w:type="dxa"/>
          </w:tcPr>
          <w:p w:rsidR="005F027B" w:rsidRPr="005F027B" w:rsidRDefault="005F027B" w:rsidP="005F02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20" w:rightChars="50" w:right="1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第一條    依據「國立高雄大學通識課程修習辦法」，本校大學部學生，須修習通識課程共32學分，為規範相關學分認定標準，特訂定「國立高雄大學通識課程修習學分認定細則」，以下簡稱本細則。</w:t>
            </w:r>
          </w:p>
        </w:tc>
      </w:tr>
      <w:tr w:rsidR="005F027B" w:rsidRPr="005F027B" w:rsidTr="005F027B">
        <w:trPr>
          <w:trHeight w:val="133"/>
        </w:trPr>
        <w:tc>
          <w:tcPr>
            <w:tcW w:w="9180" w:type="dxa"/>
          </w:tcPr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第二條    課程認定：</w:t>
            </w:r>
          </w:p>
          <w:p w:rsidR="001B5CDC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一、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相同課名之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課程，不論課程分類及課程代碼是否不同，學分只得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認一次。</w:t>
            </w:r>
          </w:p>
          <w:p w:rsidR="005F027B" w:rsidRPr="001B5CDC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二、通識課程依實際需求，同一課程得開設多班，並以英文</w:t>
            </w:r>
            <w:r w:rsidRPr="001B5CDC">
              <w:rPr>
                <w:rFonts w:ascii="標楷體" w:eastAsia="標楷體" w:hAnsi="標楷體" w:cs="細明體"/>
                <w:kern w:val="0"/>
              </w:rPr>
              <w:t>ABC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…列於課程名稱之後分別之，不同班別之課程視為同一課程，重覆選修之學分不予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認。</w:t>
            </w:r>
          </w:p>
        </w:tc>
      </w:tr>
      <w:tr w:rsidR="005F027B" w:rsidRPr="005F027B" w:rsidTr="005F027B">
        <w:trPr>
          <w:trHeight w:val="133"/>
        </w:trPr>
        <w:tc>
          <w:tcPr>
            <w:tcW w:w="9180" w:type="dxa"/>
          </w:tcPr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第三條    共同必修：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一、大學中文：</w:t>
            </w:r>
            <w:r w:rsidRPr="005F027B">
              <w:rPr>
                <w:rFonts w:ascii="標楷體" w:eastAsia="標楷體" w:hAnsi="標楷體" w:cs="細明體"/>
                <w:kern w:val="0"/>
              </w:rPr>
              <w:t>97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以後入學之學生，必修大學中文課程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學分；</w:t>
            </w:r>
            <w:r w:rsidRPr="005F027B">
              <w:rPr>
                <w:rFonts w:ascii="標楷體" w:eastAsia="標楷體" w:hAnsi="標楷體" w:cs="細明體"/>
                <w:kern w:val="0"/>
              </w:rPr>
              <w:t>96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前入學之學生無必修大學中文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學分之規範，惟選修後可</w:t>
            </w:r>
            <w:proofErr w:type="gramStart"/>
            <w:r w:rsidRPr="005F027B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5F027B">
              <w:rPr>
                <w:rFonts w:ascii="標楷體" w:eastAsia="標楷體" w:hAnsi="標楷體" w:cs="細明體" w:hint="eastAsia"/>
                <w:kern w:val="0"/>
              </w:rPr>
              <w:t>認為</w:t>
            </w:r>
            <w:proofErr w:type="gramStart"/>
            <w:r w:rsidRPr="005F027B">
              <w:rPr>
                <w:rFonts w:ascii="標楷體" w:eastAsia="標楷體" w:hAnsi="標楷體" w:cs="細明體" w:hint="eastAsia"/>
                <w:kern w:val="0"/>
              </w:rPr>
              <w:t>博雅通識</w:t>
            </w:r>
            <w:proofErr w:type="gramEnd"/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進階通識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人文類之學分。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二、英語會話與閱讀：修滿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學分。西洋語文學系學生免修，惟</w:t>
            </w:r>
            <w:r w:rsidRPr="005F027B">
              <w:rPr>
                <w:rFonts w:ascii="標楷體" w:eastAsia="標楷體" w:hAnsi="標楷體" w:cs="細明體"/>
                <w:kern w:val="0"/>
              </w:rPr>
              <w:t>99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以後入學之西洋語文學系學生，仍須以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學分之通識課程，補足通識課程共</w:t>
            </w:r>
            <w:r w:rsidRPr="005F027B">
              <w:rPr>
                <w:rFonts w:ascii="標楷體" w:eastAsia="標楷體" w:hAnsi="標楷體" w:cs="細明體"/>
                <w:kern w:val="0"/>
              </w:rPr>
              <w:t>32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學分之規定。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三、體育課程：修習通過大一、大二共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學期</w:t>
            </w:r>
            <w:r w:rsidRPr="005F027B">
              <w:rPr>
                <w:rFonts w:ascii="標楷體" w:eastAsia="標楷體" w:hAnsi="標楷體" w:cs="細明體"/>
                <w:kern w:val="0"/>
              </w:rPr>
              <w:t>0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學分之體育課，相關</w:t>
            </w:r>
            <w:proofErr w:type="gramStart"/>
            <w:r w:rsidRPr="005F027B">
              <w:rPr>
                <w:rFonts w:ascii="標楷體" w:eastAsia="標楷體" w:hAnsi="標楷體" w:cs="細明體" w:hint="eastAsia"/>
                <w:kern w:val="0"/>
              </w:rPr>
              <w:t>規定悉</w:t>
            </w:r>
            <w:proofErr w:type="gramEnd"/>
            <w:r w:rsidRPr="005F027B">
              <w:rPr>
                <w:rFonts w:ascii="標楷體" w:eastAsia="標楷體" w:hAnsi="標楷體" w:cs="細明體" w:hint="eastAsia"/>
                <w:kern w:val="0"/>
              </w:rPr>
              <w:t>依「國立高雄大學體育課實施辦法」辦理。</w:t>
            </w:r>
          </w:p>
          <w:p w:rsid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四、服務學習培養：修習通過</w:t>
            </w:r>
            <w:r w:rsidRPr="005F027B">
              <w:rPr>
                <w:rFonts w:ascii="標楷體" w:eastAsia="標楷體" w:hAnsi="標楷體" w:cs="細明體"/>
                <w:kern w:val="0"/>
              </w:rPr>
              <w:t>2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學期</w:t>
            </w:r>
            <w:r w:rsidRPr="005F027B">
              <w:rPr>
                <w:rFonts w:ascii="標楷體" w:eastAsia="標楷體" w:hAnsi="標楷體" w:cs="細明體"/>
                <w:kern w:val="0"/>
              </w:rPr>
              <w:t>0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學分之服務學習培養或服務。</w:t>
            </w:r>
          </w:p>
          <w:p w:rsidR="00D82575" w:rsidRPr="00D82575" w:rsidRDefault="00D82575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5F027B" w:rsidRPr="005F027B" w:rsidTr="005F027B">
        <w:trPr>
          <w:trHeight w:val="133"/>
        </w:trPr>
        <w:tc>
          <w:tcPr>
            <w:tcW w:w="9180" w:type="dxa"/>
          </w:tcPr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lastRenderedPageBreak/>
              <w:t xml:space="preserve">第四條    </w:t>
            </w:r>
            <w:r w:rsidRPr="005F027B">
              <w:rPr>
                <w:rFonts w:ascii="標楷體" w:eastAsia="標楷體" w:hAnsi="標楷體" w:hint="eastAsia"/>
              </w:rPr>
              <w:t>核心通識：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5F027B">
              <w:rPr>
                <w:rFonts w:ascii="標楷體" w:eastAsia="標楷體" w:hAnsi="標楷體" w:cs="細明體"/>
                <w:kern w:val="0"/>
              </w:rPr>
              <w:t>96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以前入學之學生，無核心通識選修之規定；</w:t>
            </w:r>
            <w:r w:rsidRPr="005F027B">
              <w:rPr>
                <w:rFonts w:ascii="標楷體" w:eastAsia="標楷體" w:hAnsi="標楷體" w:cs="細明體"/>
                <w:kern w:val="0"/>
              </w:rPr>
              <w:t>97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5F027B">
              <w:rPr>
                <w:rFonts w:ascii="標楷體" w:eastAsia="標楷體" w:hAnsi="標楷體" w:cs="細明體"/>
                <w:kern w:val="0"/>
              </w:rPr>
              <w:t>(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5F027B">
              <w:rPr>
                <w:rFonts w:ascii="標楷體" w:eastAsia="標楷體" w:hAnsi="標楷體" w:cs="細明體"/>
                <w:kern w:val="0"/>
              </w:rPr>
              <w:t>)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以後入學之學生，須依相關規定修習核心通識課程。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1B5CDC">
              <w:rPr>
                <w:rFonts w:ascii="標楷體" w:eastAsia="標楷體" w:hAnsi="標楷體" w:cs="細明體"/>
                <w:kern w:val="0"/>
              </w:rPr>
              <w:t>98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學年度以前，核心通識分類方式為</w:t>
            </w:r>
            <w:r w:rsidRPr="001B5CDC">
              <w:rPr>
                <w:rFonts w:ascii="標楷體" w:eastAsia="標楷體" w:hAnsi="標楷體" w:cs="細明體"/>
                <w:kern w:val="0"/>
              </w:rPr>
              <w:t>6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子類；</w:t>
            </w:r>
            <w:r w:rsidRPr="001B5CDC">
              <w:rPr>
                <w:rFonts w:ascii="標楷體" w:eastAsia="標楷體" w:hAnsi="標楷體" w:cs="細明體"/>
                <w:kern w:val="0"/>
              </w:rPr>
              <w:t>99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學年度以後，核心通識分類方式改為</w:t>
            </w:r>
            <w:r w:rsidRPr="001B5CDC">
              <w:rPr>
                <w:rFonts w:ascii="標楷體" w:eastAsia="標楷體" w:hAnsi="標楷體" w:cs="細明體"/>
                <w:kern w:val="0"/>
              </w:rPr>
              <w:t>6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向度。</w:t>
            </w:r>
            <w:r w:rsidRPr="001B5CDC">
              <w:rPr>
                <w:rFonts w:ascii="標楷體" w:eastAsia="標楷體" w:hAnsi="標楷體" w:cs="細明體"/>
                <w:kern w:val="0"/>
              </w:rPr>
              <w:t>6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子類與</w:t>
            </w:r>
            <w:r w:rsidRPr="001B5CDC">
              <w:rPr>
                <w:rFonts w:ascii="標楷體" w:eastAsia="標楷體" w:hAnsi="標楷體" w:cs="細明體"/>
                <w:kern w:val="0"/>
              </w:rPr>
              <w:t>6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向度之間的課程依</w:t>
            </w:r>
            <w:hyperlink r:id="rId8" w:anchor="附錄1" w:history="1">
              <w:r w:rsidRPr="00CB319A">
                <w:rPr>
                  <w:rFonts w:ascii="標楷體" w:eastAsia="標楷體" w:hAnsi="標楷體" w:cs="細明體" w:hint="eastAsia"/>
                  <w:kern w:val="0"/>
                  <w:u w:val="single"/>
                </w:rPr>
                <w:t>附錄</w:t>
              </w:r>
              <w:r w:rsidRPr="00CB319A">
                <w:rPr>
                  <w:rFonts w:ascii="標楷體" w:eastAsia="標楷體" w:hAnsi="標楷體" w:cs="細明體"/>
                  <w:kern w:val="0"/>
                  <w:u w:val="single"/>
                </w:rPr>
                <w:t>1</w:t>
              </w:r>
            </w:hyperlink>
            <w:r w:rsidRPr="001B5CDC">
              <w:rPr>
                <w:rFonts w:ascii="標楷體" w:eastAsia="標楷體" w:hAnsi="標楷體" w:cs="細明體" w:hint="eastAsia"/>
                <w:kern w:val="0"/>
              </w:rPr>
              <w:t>之對照表規定可互通修習。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1B5CDC">
              <w:rPr>
                <w:rFonts w:ascii="標楷體" w:eastAsia="標楷體" w:hAnsi="標楷體" w:cs="細明體"/>
                <w:kern w:val="0"/>
              </w:rPr>
              <w:t>99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學年度前已調整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為博雅通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識之核心課程，仍得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認為核心通識學分。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1B5CDC">
              <w:rPr>
                <w:rFonts w:ascii="標楷體" w:eastAsia="標楷體" w:hAnsi="標楷體" w:cs="細明體"/>
                <w:kern w:val="0"/>
              </w:rPr>
              <w:t>99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學年度前修習過之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博雅通識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課程，因調整後列入核心通識之課程，可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認為核心通識學分。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五、</w:t>
            </w:r>
            <w:r w:rsidRPr="001B5CDC">
              <w:rPr>
                <w:rFonts w:ascii="標楷體" w:eastAsia="標楷體" w:hAnsi="標楷體" w:cs="細明體"/>
                <w:kern w:val="0"/>
              </w:rPr>
              <w:t>99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學年度前已修過核心課程之子類，因調整後改列為免修之向度，可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採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認為核心通識學分。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六、</w:t>
            </w:r>
            <w:r w:rsidRPr="001B5CDC">
              <w:rPr>
                <w:rFonts w:ascii="標楷體" w:eastAsia="標楷體" w:hAnsi="標楷體" w:cs="細明體"/>
                <w:kern w:val="0"/>
              </w:rPr>
              <w:t>100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學年度以前，核心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通識每門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課為</w:t>
            </w:r>
            <w:r w:rsidRPr="001B5CDC">
              <w:rPr>
                <w:rFonts w:ascii="標楷體" w:eastAsia="標楷體" w:hAnsi="標楷體" w:cs="細明體"/>
                <w:kern w:val="0"/>
              </w:rPr>
              <w:t>2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學分。</w:t>
            </w:r>
            <w:r w:rsidRPr="001B5CDC">
              <w:rPr>
                <w:rFonts w:ascii="標楷體" w:eastAsia="標楷體" w:hAnsi="標楷體" w:cs="細明體"/>
                <w:kern w:val="0"/>
              </w:rPr>
              <w:t>101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學年度起，核心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通識每門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課為</w:t>
            </w:r>
            <w:r w:rsidRPr="001B5CDC">
              <w:rPr>
                <w:rFonts w:ascii="標楷體" w:eastAsia="標楷體" w:hAnsi="標楷體" w:cs="細明體"/>
                <w:kern w:val="0"/>
              </w:rPr>
              <w:t>3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學分。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七、</w:t>
            </w:r>
            <w:r w:rsidRPr="001B5CDC">
              <w:rPr>
                <w:rFonts w:ascii="標楷體" w:eastAsia="標楷體" w:hAnsi="標楷體" w:cs="細明體"/>
                <w:kern w:val="0"/>
              </w:rPr>
              <w:t>97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學年度起入學之學生，核心通識應排除各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學系免修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之向度，並在餘下</w:t>
            </w:r>
            <w:r w:rsidRPr="001B5CDC">
              <w:rPr>
                <w:rFonts w:ascii="標楷體" w:eastAsia="標楷體" w:hAnsi="標楷體" w:cs="細明體"/>
                <w:kern w:val="0"/>
              </w:rPr>
              <w:t>5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向度中自行選擇</w:t>
            </w:r>
            <w:r w:rsidRPr="001B5CDC">
              <w:rPr>
                <w:rFonts w:ascii="標楷體" w:eastAsia="標楷體" w:hAnsi="標楷體" w:cs="細明體"/>
                <w:kern w:val="0"/>
              </w:rPr>
              <w:t>4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向度</w:t>
            </w:r>
            <w:r w:rsidRPr="001B5CDC">
              <w:rPr>
                <w:rFonts w:ascii="標楷體" w:eastAsia="標楷體" w:hAnsi="標楷體" w:cs="細明體"/>
                <w:kern w:val="0"/>
              </w:rPr>
              <w:t>(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1B5CDC">
              <w:rPr>
                <w:rFonts w:ascii="標楷體" w:eastAsia="標楷體" w:hAnsi="標楷體" w:cs="細明體"/>
                <w:kern w:val="0"/>
              </w:rPr>
              <w:t>)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以上各</w:t>
            </w:r>
            <w:r w:rsidRPr="001B5CDC">
              <w:rPr>
                <w:rFonts w:ascii="標楷體" w:eastAsia="標楷體" w:hAnsi="標楷體" w:cs="細明體"/>
                <w:kern w:val="0"/>
              </w:rPr>
              <w:t>1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門課程，共至少</w:t>
            </w:r>
            <w:r w:rsidRPr="001B5CDC">
              <w:rPr>
                <w:rFonts w:ascii="標楷體" w:eastAsia="標楷體" w:hAnsi="標楷體" w:cs="細明體"/>
                <w:kern w:val="0"/>
              </w:rPr>
              <w:t>4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門課程。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八、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免修向度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：</w:t>
            </w:r>
            <w:r w:rsidRPr="001B5CDC">
              <w:rPr>
                <w:rFonts w:ascii="標楷體" w:eastAsia="標楷體" w:hAnsi="標楷體" w:cs="細明體"/>
                <w:kern w:val="0"/>
              </w:rPr>
              <w:t>97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</w:t>
            </w:r>
            <w:r w:rsidRPr="001B5CDC">
              <w:rPr>
                <w:rFonts w:ascii="標楷體" w:eastAsia="標楷體" w:hAnsi="標楷體" w:cs="細明體"/>
                <w:kern w:val="0"/>
              </w:rPr>
              <w:t>(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含</w:t>
            </w:r>
            <w:r w:rsidRPr="001B5CDC">
              <w:rPr>
                <w:rFonts w:ascii="標楷體" w:eastAsia="標楷體" w:hAnsi="標楷體" w:cs="細明體"/>
                <w:kern w:val="0"/>
              </w:rPr>
              <w:t>)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以後入學之學生，可適用任一學年度之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各系免修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核心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通識向度</w:t>
            </w:r>
            <w:proofErr w:type="gramEnd"/>
            <w:r w:rsidRPr="001B5CDC">
              <w:rPr>
                <w:rFonts w:ascii="標楷體" w:eastAsia="標楷體" w:hAnsi="標楷體" w:cs="細明體"/>
                <w:kern w:val="0"/>
              </w:rPr>
              <w:t>(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分類</w:t>
            </w:r>
            <w:r w:rsidRPr="001B5CDC">
              <w:rPr>
                <w:rFonts w:ascii="標楷體" w:eastAsia="標楷體" w:hAnsi="標楷體" w:cs="細明體"/>
                <w:kern w:val="0"/>
              </w:rPr>
              <w:t>)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表，請參閱</w:t>
            </w:r>
            <w:hyperlink r:id="rId9" w:anchor="附錄2" w:history="1">
              <w:r w:rsidRPr="00CB319A">
                <w:rPr>
                  <w:rFonts w:ascii="標楷體" w:eastAsia="標楷體" w:hAnsi="標楷體" w:cs="細明體" w:hint="eastAsia"/>
                  <w:kern w:val="0"/>
                  <w:u w:val="single"/>
                </w:rPr>
                <w:t>附錄</w:t>
              </w:r>
              <w:r w:rsidRPr="00CB319A">
                <w:rPr>
                  <w:rFonts w:ascii="標楷體" w:eastAsia="標楷體" w:hAnsi="標楷體" w:cs="細明體"/>
                  <w:kern w:val="0"/>
                  <w:u w:val="single"/>
                </w:rPr>
                <w:t>2</w:t>
              </w:r>
            </w:hyperlink>
            <w:r w:rsidRPr="001B5CD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5F027B" w:rsidRPr="005F027B" w:rsidTr="005F027B">
        <w:trPr>
          <w:trHeight w:val="133"/>
        </w:trPr>
        <w:tc>
          <w:tcPr>
            <w:tcW w:w="9180" w:type="dxa"/>
          </w:tcPr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 xml:space="preserve">第五條    </w:t>
            </w:r>
            <w:proofErr w:type="gramStart"/>
            <w:r w:rsidRPr="005F027B">
              <w:rPr>
                <w:rFonts w:ascii="標楷體" w:eastAsia="標楷體" w:hAnsi="標楷體" w:hint="eastAsia"/>
              </w:rPr>
              <w:t>博雅通識</w:t>
            </w:r>
            <w:proofErr w:type="gramEnd"/>
            <w:r w:rsidRPr="005F027B">
              <w:rPr>
                <w:rFonts w:ascii="標楷體" w:eastAsia="標楷體" w:hAnsi="標楷體" w:hint="eastAsia"/>
              </w:rPr>
              <w:t>：</w:t>
            </w:r>
          </w:p>
          <w:p w:rsidR="005F027B" w:rsidRPr="001B5CDC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1B5CDC">
              <w:rPr>
                <w:rFonts w:ascii="標楷體" w:eastAsia="標楷體" w:hAnsi="標楷體" w:cs="細明體"/>
                <w:kern w:val="0"/>
              </w:rPr>
              <w:t>99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學年度由「進階通識」更改為「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博雅通識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」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二、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博雅通識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各類至少修習一門課程。</w:t>
            </w:r>
          </w:p>
        </w:tc>
      </w:tr>
      <w:tr w:rsidR="005F027B" w:rsidRPr="005F027B" w:rsidTr="005F027B">
        <w:trPr>
          <w:trHeight w:val="133"/>
        </w:trPr>
        <w:tc>
          <w:tcPr>
            <w:tcW w:w="9180" w:type="dxa"/>
          </w:tcPr>
          <w:p w:rsidR="005F027B" w:rsidRPr="005F027B" w:rsidRDefault="005F027B" w:rsidP="005F02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20" w:rightChars="50" w:right="1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第六條</w:t>
            </w:r>
            <w:r w:rsidR="005818AB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跨系選修</w:t>
            </w:r>
            <w:r w:rsidRPr="005F027B">
              <w:rPr>
                <w:rFonts w:ascii="標楷體" w:eastAsia="標楷體" w:hAnsi="標楷體" w:cs="細明體"/>
                <w:kern w:val="0"/>
              </w:rPr>
              <w:t>：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可至他系選修本系未曾開設之課程，並由系上認定是否納入通識學分，</w:t>
            </w:r>
            <w:r w:rsidRPr="005F027B">
              <w:rPr>
                <w:rFonts w:ascii="標楷體" w:eastAsia="標楷體" w:hAnsi="標楷體" w:cs="細明體"/>
                <w:kern w:val="0"/>
              </w:rPr>
              <w:t>96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學年度入學者至多承認</w:t>
            </w:r>
            <w:r w:rsidRPr="005F027B">
              <w:rPr>
                <w:rFonts w:ascii="標楷體" w:eastAsia="標楷體" w:hAnsi="標楷體" w:cs="細明體"/>
                <w:kern w:val="0"/>
              </w:rPr>
              <w:t>6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學分；</w:t>
            </w:r>
            <w:r w:rsidRPr="005F027B">
              <w:rPr>
                <w:rFonts w:ascii="標楷體" w:eastAsia="標楷體" w:hAnsi="標楷體" w:cs="細明體"/>
                <w:kern w:val="0"/>
              </w:rPr>
              <w:t>97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及</w:t>
            </w:r>
            <w:r w:rsidRPr="005F027B">
              <w:rPr>
                <w:rFonts w:ascii="標楷體" w:eastAsia="標楷體" w:hAnsi="標楷體" w:cs="細明體"/>
                <w:kern w:val="0"/>
              </w:rPr>
              <w:t>98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學年度入者至多承認</w:t>
            </w:r>
            <w:r w:rsidRPr="005F027B">
              <w:rPr>
                <w:rFonts w:ascii="標楷體" w:eastAsia="標楷體" w:hAnsi="標楷體" w:cs="細明體"/>
                <w:kern w:val="0"/>
              </w:rPr>
              <w:t>4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學分；</w:t>
            </w:r>
            <w:r w:rsidRPr="005F027B">
              <w:rPr>
                <w:rFonts w:ascii="標楷體" w:eastAsia="標楷體" w:hAnsi="標楷體" w:cs="細明體"/>
                <w:kern w:val="0"/>
              </w:rPr>
              <w:t>99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學年度起取消跨系選修一類。</w:t>
            </w:r>
          </w:p>
        </w:tc>
      </w:tr>
      <w:tr w:rsidR="005F027B" w:rsidRPr="005F027B" w:rsidTr="005F027B">
        <w:trPr>
          <w:trHeight w:val="886"/>
        </w:trPr>
        <w:tc>
          <w:tcPr>
            <w:tcW w:w="9180" w:type="dxa"/>
          </w:tcPr>
          <w:p w:rsidR="005F027B" w:rsidRPr="005F027B" w:rsidRDefault="005818AB" w:rsidP="00581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1274" w:rightChars="50" w:right="120" w:hangingChars="531" w:hanging="127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第六</w:t>
            </w:r>
            <w:r>
              <w:rPr>
                <w:rFonts w:ascii="標楷體" w:eastAsia="標楷體" w:hAnsi="標楷體" w:cs="細明體" w:hint="eastAsia"/>
                <w:kern w:val="0"/>
              </w:rPr>
              <w:t>之一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條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5818AB">
              <w:rPr>
                <w:rFonts w:ascii="標楷體" w:eastAsia="標楷體" w:hAnsi="標楷體" w:hint="eastAsia"/>
              </w:rPr>
              <w:t>跨院選修係為學生至他院選修課程，並由學生所屬學系認定是否納入通識學分，所認定之課程非屬本細則第四條</w:t>
            </w:r>
            <w:r w:rsidRPr="005818AB">
              <w:rPr>
                <w:rFonts w:ascii="微軟正黑體" w:eastAsia="微軟正黑體" w:hAnsi="微軟正黑體" w:hint="eastAsia"/>
              </w:rPr>
              <w:t>、</w:t>
            </w:r>
            <w:r w:rsidRPr="005818AB">
              <w:rPr>
                <w:rFonts w:ascii="標楷體" w:eastAsia="標楷體" w:hAnsi="標楷體" w:hint="eastAsia"/>
              </w:rPr>
              <w:t>第五條所指各向度，至多承認6學分。</w:t>
            </w:r>
          </w:p>
        </w:tc>
      </w:tr>
      <w:tr w:rsidR="005818AB" w:rsidRPr="005F027B" w:rsidTr="005F027B">
        <w:trPr>
          <w:trHeight w:val="886"/>
        </w:trPr>
        <w:tc>
          <w:tcPr>
            <w:tcW w:w="9180" w:type="dxa"/>
          </w:tcPr>
          <w:p w:rsidR="005818AB" w:rsidRPr="005F027B" w:rsidRDefault="005818AB" w:rsidP="005F02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20" w:rightChars="50" w:right="1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第七條    轉學生學分抵免認定：</w:t>
            </w:r>
            <w:r w:rsidRPr="005F027B">
              <w:rPr>
                <w:rFonts w:ascii="標楷體" w:eastAsia="標楷體" w:hAnsi="標楷體" w:hint="eastAsia"/>
              </w:rPr>
              <w:t>另以「國立高雄大學通識課程學分抵免審查辦法」訂之。</w:t>
            </w:r>
          </w:p>
        </w:tc>
      </w:tr>
      <w:tr w:rsidR="005F027B" w:rsidRPr="005F027B" w:rsidTr="005818AB">
        <w:trPr>
          <w:trHeight w:val="568"/>
        </w:trPr>
        <w:tc>
          <w:tcPr>
            <w:tcW w:w="9180" w:type="dxa"/>
          </w:tcPr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第八條    校際選課學分認定：</w:t>
            </w:r>
          </w:p>
          <w:p w:rsidR="005F027B" w:rsidRPr="001B5CDC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一、校際選課通識學分之認定，需符合「國立高雄大學校際選課實施辦法」之規定。</w:t>
            </w:r>
          </w:p>
          <w:p w:rsidR="005F027B" w:rsidRPr="001B5CDC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lastRenderedPageBreak/>
              <w:t>二、共同必修課程與核心通識課程原則上不開放校際選課學分之認定。</w:t>
            </w:r>
          </w:p>
          <w:p w:rsidR="005F027B" w:rsidRPr="005F027B" w:rsidRDefault="005F027B" w:rsidP="0082237C">
            <w:pPr>
              <w:spacing w:line="440" w:lineRule="exact"/>
              <w:ind w:leftChars="532" w:left="1699" w:rightChars="50" w:right="120" w:hangingChars="176" w:hanging="422"/>
              <w:jc w:val="both"/>
              <w:rPr>
                <w:rFonts w:ascii="標楷體" w:eastAsia="標楷體" w:hAnsi="標楷體"/>
              </w:rPr>
            </w:pPr>
            <w:r w:rsidRPr="001B5CDC">
              <w:rPr>
                <w:rFonts w:ascii="標楷體" w:eastAsia="標楷體" w:hAnsi="標楷體" w:cs="細明體" w:hint="eastAsia"/>
                <w:kern w:val="0"/>
              </w:rPr>
              <w:t>三、</w:t>
            </w:r>
            <w:proofErr w:type="gramStart"/>
            <w:r w:rsidRPr="001B5CDC">
              <w:rPr>
                <w:rFonts w:ascii="標楷體" w:eastAsia="標楷體" w:hAnsi="標楷體" w:cs="細明體" w:hint="eastAsia"/>
                <w:kern w:val="0"/>
              </w:rPr>
              <w:t>博雅通識</w:t>
            </w:r>
            <w:proofErr w:type="gramEnd"/>
            <w:r w:rsidRPr="001B5CDC">
              <w:rPr>
                <w:rFonts w:ascii="標楷體" w:eastAsia="標楷體" w:hAnsi="標楷體" w:cs="細明體" w:hint="eastAsia"/>
                <w:kern w:val="0"/>
              </w:rPr>
              <w:t>學分認定上限為</w:t>
            </w:r>
            <w:r w:rsidRPr="001B5CDC">
              <w:rPr>
                <w:rFonts w:ascii="標楷體" w:eastAsia="標楷體" w:hAnsi="標楷體" w:cs="細明體"/>
                <w:kern w:val="0"/>
              </w:rPr>
              <w:t>6</w:t>
            </w:r>
            <w:r w:rsidRPr="001B5CDC">
              <w:rPr>
                <w:rFonts w:ascii="標楷體" w:eastAsia="標楷體" w:hAnsi="標楷體" w:cs="細明體" w:hint="eastAsia"/>
                <w:kern w:val="0"/>
              </w:rPr>
              <w:t>學分，惟應屆畢業生及延修生不在此限。</w:t>
            </w:r>
          </w:p>
        </w:tc>
      </w:tr>
      <w:tr w:rsidR="005F027B" w:rsidRPr="005F027B" w:rsidTr="005F027B">
        <w:trPr>
          <w:trHeight w:val="1302"/>
        </w:trPr>
        <w:tc>
          <w:tcPr>
            <w:tcW w:w="9180" w:type="dxa"/>
          </w:tcPr>
          <w:p w:rsidR="005F027B" w:rsidRPr="005F027B" w:rsidRDefault="005F027B" w:rsidP="005F02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20" w:rightChars="50" w:right="120" w:hangingChars="300" w:hanging="720"/>
              <w:rPr>
                <w:rFonts w:ascii="標楷體" w:eastAsia="標楷體" w:hAnsi="標楷體" w:cs="細明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lastRenderedPageBreak/>
              <w:t xml:space="preserve">第九條    </w:t>
            </w:r>
            <w:r w:rsidR="00FA3683">
              <w:rPr>
                <w:rFonts w:ascii="標楷體" w:eastAsia="標楷體" w:hAnsi="標楷體" w:cs="細明體" w:hint="eastAsia"/>
                <w:kern w:val="0"/>
              </w:rPr>
              <w:t>本細則經通識教育中心課程委會議、</w:t>
            </w:r>
            <w:r w:rsidRPr="005F027B">
              <w:rPr>
                <w:rFonts w:ascii="標楷體" w:eastAsia="標楷體" w:hAnsi="標楷體" w:cs="細明體" w:hint="eastAsia"/>
                <w:kern w:val="0"/>
              </w:rPr>
              <w:t>教務會議通過，陳請校長核定後發布，修正時亦同。</w:t>
            </w:r>
          </w:p>
          <w:p w:rsidR="005F027B" w:rsidRPr="005F027B" w:rsidRDefault="005F027B" w:rsidP="00D14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500" w:left="1200" w:rightChars="58" w:right="139"/>
              <w:jc w:val="both"/>
              <w:rPr>
                <w:rFonts w:ascii="標楷體" w:eastAsia="標楷體" w:hAnsi="標楷體"/>
                <w:kern w:val="0"/>
              </w:rPr>
            </w:pPr>
            <w:r w:rsidRPr="005F027B">
              <w:rPr>
                <w:rFonts w:ascii="標楷體" w:eastAsia="標楷體" w:hAnsi="標楷體" w:cs="細明體" w:hint="eastAsia"/>
                <w:kern w:val="0"/>
              </w:rPr>
              <w:t>本細則自發布日施行。</w:t>
            </w:r>
          </w:p>
        </w:tc>
      </w:tr>
    </w:tbl>
    <w:p w:rsidR="00CB319A" w:rsidRDefault="00CB319A"/>
    <w:p w:rsidR="00CB319A" w:rsidRDefault="00CB319A">
      <w:pPr>
        <w:widowControl/>
      </w:pPr>
      <w:r>
        <w:br w:type="page"/>
      </w:r>
    </w:p>
    <w:p w:rsidR="003A1D91" w:rsidRPr="00CB319A" w:rsidRDefault="00892A06" w:rsidP="00CB319A">
      <w:pPr>
        <w:jc w:val="right"/>
        <w:rPr>
          <w:rFonts w:ascii="標楷體" w:eastAsia="標楷體" w:hAnsi="標楷體" w:cs="細明體"/>
          <w:kern w:val="0"/>
          <w:bdr w:val="single" w:sz="4" w:space="0" w:color="auto"/>
        </w:rPr>
      </w:pPr>
      <w:hyperlink r:id="rId10" w:anchor="附錄1" w:history="1">
        <w:r w:rsidR="00CB319A" w:rsidRPr="00CB319A">
          <w:rPr>
            <w:rFonts w:ascii="標楷體" w:eastAsia="標楷體" w:hAnsi="標楷體" w:cs="細明體" w:hint="eastAsia"/>
            <w:kern w:val="0"/>
            <w:bdr w:val="single" w:sz="4" w:space="0" w:color="auto"/>
          </w:rPr>
          <w:t>附錄</w:t>
        </w:r>
        <w:r w:rsidR="00CB319A" w:rsidRPr="00CB319A">
          <w:rPr>
            <w:rFonts w:ascii="標楷體" w:eastAsia="標楷體" w:hAnsi="標楷體" w:cs="細明體"/>
            <w:kern w:val="0"/>
            <w:bdr w:val="single" w:sz="4" w:space="0" w:color="auto"/>
          </w:rPr>
          <w:t>1</w:t>
        </w:r>
      </w:hyperlink>
    </w:p>
    <w:p w:rsidR="00CB319A" w:rsidRPr="00CB319A" w:rsidRDefault="00CB319A" w:rsidP="00CB319A">
      <w:pPr>
        <w:jc w:val="center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CB319A">
        <w:rPr>
          <w:rFonts w:ascii="標楷體" w:eastAsia="標楷體" w:hAnsi="標楷體" w:cs="細明體" w:hint="eastAsia"/>
          <w:b/>
          <w:kern w:val="0"/>
          <w:sz w:val="28"/>
          <w:szCs w:val="28"/>
        </w:rPr>
        <w:t>核心通識分類課程對照表</w:t>
      </w:r>
    </w:p>
    <w:tbl>
      <w:tblPr>
        <w:tblpPr w:leftFromText="180" w:rightFromText="180" w:vertAnchor="text" w:horzAnchor="margin" w:tblpY="193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971"/>
        <w:gridCol w:w="2914"/>
        <w:gridCol w:w="581"/>
        <w:gridCol w:w="971"/>
        <w:gridCol w:w="3493"/>
      </w:tblGrid>
      <w:tr w:rsidR="00CB319A" w:rsidRPr="00982ADA" w:rsidTr="00CB319A">
        <w:trPr>
          <w:trHeight w:val="367"/>
        </w:trPr>
        <w:tc>
          <w:tcPr>
            <w:tcW w:w="4466" w:type="dxa"/>
            <w:gridSpan w:val="3"/>
            <w:shd w:val="clear" w:color="auto" w:fill="auto"/>
            <w:vAlign w:val="center"/>
          </w:tcPr>
          <w:p w:rsidR="00CB319A" w:rsidRPr="007A5D47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7A5D4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103學年度前入學者適用</w:t>
            </w:r>
          </w:p>
        </w:tc>
        <w:tc>
          <w:tcPr>
            <w:tcW w:w="5045" w:type="dxa"/>
            <w:gridSpan w:val="3"/>
            <w:shd w:val="clear" w:color="auto" w:fill="auto"/>
          </w:tcPr>
          <w:p w:rsidR="00CB319A" w:rsidRPr="007A5D47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各</w:t>
            </w:r>
            <w:r w:rsidRPr="007A5D4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學年入學者適用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6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子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類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與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6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向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度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對</w:t>
            </w:r>
          </w:p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CB1">
              <w:rPr>
                <w:rFonts w:ascii="標楷體" w:eastAsia="標楷體" w:hAnsi="標楷體" w:hint="eastAsia"/>
              </w:rPr>
              <w:t>照</w:t>
            </w:r>
          </w:p>
          <w:p w:rsidR="00CB319A" w:rsidRDefault="00CB319A" w:rsidP="00CB319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62CB1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</w:tcBorders>
            <w:shd w:val="clear" w:color="auto" w:fill="D5D1D1" w:themeFill="accent6" w:themeFillTint="66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向度</w:t>
            </w:r>
          </w:p>
        </w:tc>
        <w:tc>
          <w:tcPr>
            <w:tcW w:w="2914" w:type="dxa"/>
            <w:tcBorders>
              <w:top w:val="double" w:sz="4" w:space="0" w:color="auto"/>
            </w:tcBorders>
            <w:shd w:val="clear" w:color="auto" w:fill="D5D1D1" w:themeFill="accent6" w:themeFillTint="66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所屬課程名稱</w:t>
            </w:r>
          </w:p>
        </w:tc>
        <w:tc>
          <w:tcPr>
            <w:tcW w:w="581" w:type="dxa"/>
            <w:vMerge w:val="restart"/>
            <w:tcBorders>
              <w:top w:val="double" w:sz="4" w:space="0" w:color="auto"/>
            </w:tcBorders>
            <w:shd w:val="clear" w:color="auto" w:fill="EBDDC3" w:themeFill="background2"/>
            <w:vAlign w:val="center"/>
          </w:tcPr>
          <w:p w:rsidR="00CB319A" w:rsidRDefault="00CB319A" w:rsidP="00CB319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課程對照表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B319A" w:rsidRDefault="00CB319A" w:rsidP="00CB319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向度</w:t>
            </w:r>
          </w:p>
        </w:tc>
        <w:tc>
          <w:tcPr>
            <w:tcW w:w="34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所屬課程名稱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思維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方法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邏輯思維與論證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思維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方法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邏輯思維與論證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哲學基本問題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哲學基本問題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美學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藝術概論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美學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藝術概論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中國藝術史概論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中國藝術史概論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西洋藝術史概論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西洋藝術史概論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台灣藝術史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台灣藝術史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公民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法律與人生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公民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法律與人生</w:t>
            </w:r>
          </w:p>
        </w:tc>
      </w:tr>
      <w:tr w:rsidR="00CB319A" w:rsidRPr="00982ADA" w:rsidTr="00CB319A">
        <w:trPr>
          <w:trHeight w:val="530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Merge w:val="restart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服務學習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vMerge w:val="restart"/>
            <w:tcBorders>
              <w:right w:val="double" w:sz="4" w:space="0" w:color="auto"/>
            </w:tcBorders>
            <w:vAlign w:val="center"/>
          </w:tcPr>
          <w:p w:rsidR="00CB319A" w:rsidRPr="00FE03D3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E03D3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服務學習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(刪除)</w:t>
            </w:r>
          </w:p>
          <w:p w:rsidR="00CB319A" w:rsidRPr="00C3348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C3348A">
              <w:rPr>
                <w:rFonts w:ascii="標楷體" w:eastAsia="標楷體" w:hAnsi="標楷體" w:cs="新細明體" w:hint="eastAsia"/>
                <w:color w:val="FF0000"/>
                <w:kern w:val="0"/>
              </w:rPr>
              <w:t>媒體識讀與</w:t>
            </w:r>
            <w:proofErr w:type="gramEnd"/>
            <w:r w:rsidRPr="00C3348A">
              <w:rPr>
                <w:rFonts w:ascii="標楷體" w:eastAsia="標楷體" w:hAnsi="標楷體" w:cs="新細明體" w:hint="eastAsia"/>
                <w:color w:val="FF0000"/>
                <w:kern w:val="0"/>
              </w:rPr>
              <w:t>公民參與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(新增)</w:t>
            </w:r>
          </w:p>
        </w:tc>
      </w:tr>
      <w:tr w:rsidR="00CB319A" w:rsidRPr="00982ADA" w:rsidTr="00CB319A">
        <w:trPr>
          <w:trHeight w:val="530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Merge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vMerge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全球化與多元文化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全球化與多元文化</w:t>
            </w:r>
          </w:p>
        </w:tc>
      </w:tr>
      <w:tr w:rsidR="00CB319A" w:rsidRPr="00982ADA" w:rsidTr="00CB319A">
        <w:trPr>
          <w:trHeight w:val="1119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探索台灣課群</w:t>
            </w:r>
          </w:p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政經篇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歷史篇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探索台灣課群</w:t>
            </w:r>
          </w:p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政經篇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歷史篇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世界文明史概論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F97CA5" w:rsidRDefault="00CB319A" w:rsidP="00CB319A">
            <w:pPr>
              <w:jc w:val="both"/>
              <w:rPr>
                <w:rFonts w:ascii="標楷體" w:eastAsia="標楷體" w:hAnsi="標楷體" w:cs="新細明體"/>
                <w:strike/>
                <w:color w:val="FF0000"/>
                <w:kern w:val="0"/>
              </w:rPr>
            </w:pPr>
            <w:r w:rsidRPr="00F97CA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世界文明史概論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(刪除)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科普讀物導讀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科普讀物導讀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科技與社會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科技與社會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FF0000"/>
                <w:kern w:val="0"/>
              </w:rPr>
              <w:t>科學史概論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strike/>
                <w:color w:val="FF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科學史概論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(刪除)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倫理素養</w:t>
            </w: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環境倫理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倫理素養</w:t>
            </w: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環境倫理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企業倫理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企業倫理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FF0000"/>
                <w:kern w:val="0"/>
              </w:rPr>
              <w:t>法律倫理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strike/>
                <w:color w:val="FF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法律倫理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(刪除)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職場倫理</w:t>
            </w:r>
          </w:p>
        </w:tc>
        <w:tc>
          <w:tcPr>
            <w:tcW w:w="581" w:type="dxa"/>
            <w:vMerge/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職場倫理</w:t>
            </w:r>
          </w:p>
        </w:tc>
      </w:tr>
      <w:tr w:rsidR="00CB319A" w:rsidRPr="00982ADA" w:rsidTr="00CB319A">
        <w:trPr>
          <w:trHeight w:val="367"/>
        </w:trPr>
        <w:tc>
          <w:tcPr>
            <w:tcW w:w="5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14" w:type="dxa"/>
            <w:tcBorders>
              <w:bottom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科技倫理</w:t>
            </w:r>
          </w:p>
        </w:tc>
        <w:tc>
          <w:tcPr>
            <w:tcW w:w="581" w:type="dxa"/>
            <w:vMerge/>
            <w:tcBorders>
              <w:bottom w:val="double" w:sz="4" w:space="0" w:color="auto"/>
            </w:tcBorders>
            <w:shd w:val="clear" w:color="auto" w:fill="EBDDC3" w:themeFill="background2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319A" w:rsidRPr="00982ADA" w:rsidRDefault="00CB319A" w:rsidP="00CB3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319A" w:rsidRPr="00982ADA" w:rsidRDefault="00CB319A" w:rsidP="00CB319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</w:t>
            </w:r>
            <w:r w:rsidRPr="00194E4A">
              <w:rPr>
                <w:rFonts w:ascii="標楷體" w:eastAsia="標楷體" w:hAnsi="標楷體" w:hint="eastAsia"/>
                <w:color w:val="FF0000"/>
                <w:kern w:val="0"/>
              </w:rPr>
              <w:t>與工程</w:t>
            </w:r>
            <w:r w:rsidRPr="00982ADA">
              <w:rPr>
                <w:rFonts w:ascii="標楷體" w:eastAsia="標楷體" w:hAnsi="標楷體" w:cs="新細明體" w:hint="eastAsia"/>
                <w:color w:val="000000"/>
                <w:kern w:val="0"/>
              </w:rPr>
              <w:t>倫理</w:t>
            </w:r>
            <w:r w:rsidRPr="00FE03D3">
              <w:rPr>
                <w:rFonts w:ascii="標楷體" w:eastAsia="標楷體" w:hAnsi="標楷體" w:cs="新細明體" w:hint="eastAsia"/>
                <w:color w:val="FF0000"/>
                <w:kern w:val="0"/>
              </w:rPr>
              <w:t>(調整)</w:t>
            </w:r>
          </w:p>
        </w:tc>
      </w:tr>
    </w:tbl>
    <w:p w:rsidR="00CB319A" w:rsidRDefault="00CB319A">
      <w:pPr>
        <w:widowControl/>
      </w:pPr>
      <w:r>
        <w:t xml:space="preserve"> </w:t>
      </w:r>
      <w:r>
        <w:br w:type="page"/>
      </w:r>
    </w:p>
    <w:p w:rsidR="00CB319A" w:rsidRPr="00CB319A" w:rsidRDefault="00892A06" w:rsidP="00CB319A">
      <w:pPr>
        <w:ind w:right="-46"/>
        <w:jc w:val="right"/>
        <w:rPr>
          <w:rFonts w:ascii="標楷體" w:eastAsia="標楷體" w:hAnsi="標楷體" w:cs="細明體"/>
          <w:kern w:val="0"/>
          <w:bdr w:val="single" w:sz="4" w:space="0" w:color="auto"/>
        </w:rPr>
      </w:pPr>
      <w:hyperlink r:id="rId11" w:anchor="附錄2" w:history="1">
        <w:r w:rsidR="00CB319A" w:rsidRPr="00CB319A">
          <w:rPr>
            <w:rFonts w:ascii="標楷體" w:eastAsia="標楷體" w:hAnsi="標楷體" w:cs="細明體" w:hint="eastAsia"/>
            <w:kern w:val="0"/>
            <w:bdr w:val="single" w:sz="4" w:space="0" w:color="auto"/>
          </w:rPr>
          <w:t>附錄</w:t>
        </w:r>
        <w:r w:rsidR="00CB319A" w:rsidRPr="00CB319A">
          <w:rPr>
            <w:rFonts w:ascii="標楷體" w:eastAsia="標楷體" w:hAnsi="標楷體" w:cs="細明體"/>
            <w:kern w:val="0"/>
            <w:bdr w:val="single" w:sz="4" w:space="0" w:color="auto"/>
          </w:rPr>
          <w:t>2</w:t>
        </w:r>
      </w:hyperlink>
    </w:p>
    <w:p w:rsidR="00CB319A" w:rsidRDefault="00CB319A" w:rsidP="00CB319A">
      <w:pPr>
        <w:ind w:right="1440"/>
        <w:jc w:val="center"/>
        <w:rPr>
          <w:rFonts w:ascii="標楷體" w:eastAsia="標楷體" w:hAnsi="標楷體" w:cs="細明體"/>
          <w:b/>
          <w:kern w:val="0"/>
          <w:sz w:val="28"/>
          <w:szCs w:val="28"/>
        </w:rPr>
      </w:pPr>
      <w:proofErr w:type="gramStart"/>
      <w:r w:rsidRPr="00CB319A">
        <w:rPr>
          <w:rFonts w:ascii="標楷體" w:eastAsia="標楷體" w:hAnsi="標楷體" w:cs="細明體" w:hint="eastAsia"/>
          <w:b/>
          <w:kern w:val="0"/>
          <w:sz w:val="28"/>
          <w:szCs w:val="28"/>
        </w:rPr>
        <w:t>各系免修</w:t>
      </w:r>
      <w:proofErr w:type="gramEnd"/>
      <w:r w:rsidRPr="00CB319A">
        <w:rPr>
          <w:rFonts w:ascii="標楷體" w:eastAsia="標楷體" w:hAnsi="標楷體" w:cs="細明體" w:hint="eastAsia"/>
          <w:b/>
          <w:kern w:val="0"/>
          <w:sz w:val="28"/>
          <w:szCs w:val="28"/>
        </w:rPr>
        <w:t>核心</w:t>
      </w:r>
      <w:proofErr w:type="gramStart"/>
      <w:r w:rsidRPr="00CB319A">
        <w:rPr>
          <w:rFonts w:ascii="標楷體" w:eastAsia="標楷體" w:hAnsi="標楷體" w:cs="細明體" w:hint="eastAsia"/>
          <w:b/>
          <w:kern w:val="0"/>
          <w:sz w:val="28"/>
          <w:szCs w:val="28"/>
        </w:rPr>
        <w:t>通識向度</w:t>
      </w:r>
      <w:proofErr w:type="gramEnd"/>
      <w:r w:rsidRPr="00CB319A">
        <w:rPr>
          <w:rFonts w:ascii="標楷體" w:eastAsia="標楷體" w:hAnsi="標楷體" w:cs="細明體" w:hint="eastAsia"/>
          <w:b/>
          <w:kern w:val="0"/>
          <w:sz w:val="28"/>
          <w:szCs w:val="28"/>
        </w:rPr>
        <w:t>表</w:t>
      </w:r>
    </w:p>
    <w:tbl>
      <w:tblPr>
        <w:tblW w:w="103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0F6B64" w:rsidRPr="000F6B64" w:rsidTr="000F6B64">
        <w:trPr>
          <w:trHeight w:val="360"/>
          <w:tblCellSpacing w:w="0" w:type="dxa"/>
          <w:jc w:val="center"/>
        </w:trPr>
        <w:tc>
          <w:tcPr>
            <w:tcW w:w="10355" w:type="dxa"/>
            <w:vAlign w:val="center"/>
            <w:hideMark/>
          </w:tcPr>
          <w:p w:rsidR="000F6B64" w:rsidRPr="000F6B64" w:rsidRDefault="000F6B64" w:rsidP="000F6B64">
            <w:pPr>
              <w:widowControl/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</w:pP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【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97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學年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(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含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)</w:t>
            </w:r>
            <w:r w:rsidRPr="000F6B64">
              <w:rPr>
                <w:rFonts w:ascii="Arial" w:hAnsi="Arial" w:cs="Arial"/>
                <w:b/>
                <w:bCs/>
                <w:color w:val="1C81CC"/>
                <w:kern w:val="0"/>
                <w:sz w:val="20"/>
                <w:szCs w:val="20"/>
              </w:rPr>
              <w:t>以後入學之學生，可適用任一學年度之各系免修通識向度表】</w:t>
            </w:r>
          </w:p>
        </w:tc>
      </w:tr>
      <w:tr w:rsidR="000F6B64" w:rsidRPr="000F6B64" w:rsidTr="000F6B64">
        <w:trPr>
          <w:trHeight w:val="360"/>
          <w:tblCellSpacing w:w="0" w:type="dxa"/>
          <w:jc w:val="center"/>
        </w:trPr>
        <w:tc>
          <w:tcPr>
            <w:tcW w:w="10355" w:type="dxa"/>
            <w:vAlign w:val="center"/>
            <w:hideMark/>
          </w:tcPr>
          <w:p w:rsidR="000F6B64" w:rsidRPr="000F6B64" w:rsidRDefault="000F6B64" w:rsidP="000F6B64">
            <w:pPr>
              <w:widowControl/>
              <w:spacing w:before="100" w:beforeAutospacing="1" w:after="100" w:afterAutospacing="1" w:line="450" w:lineRule="atLeast"/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</w:pP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1.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【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97-98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學年度】</w:t>
            </w:r>
          </w:p>
        </w:tc>
      </w:tr>
      <w:tr w:rsidR="000F6B64" w:rsidRPr="000F6B64" w:rsidTr="000F6B64">
        <w:trPr>
          <w:trHeight w:val="180"/>
          <w:tblCellSpacing w:w="0" w:type="dxa"/>
          <w:jc w:val="center"/>
        </w:trPr>
        <w:tc>
          <w:tcPr>
            <w:tcW w:w="10355" w:type="dxa"/>
            <w:vAlign w:val="center"/>
            <w:hideMark/>
          </w:tcPr>
          <w:tbl>
            <w:tblPr>
              <w:tblW w:w="9639" w:type="dxa"/>
              <w:jc w:val="center"/>
              <w:tblCellSpacing w:w="12" w:type="dxa"/>
              <w:shd w:val="clear" w:color="auto" w:fill="DCC7A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3"/>
            </w:tblGrid>
            <w:tr w:rsidR="000F6B64" w:rsidRPr="000F6B64" w:rsidTr="000F6B64">
              <w:trPr>
                <w:tblCellSpacing w:w="12" w:type="dxa"/>
                <w:jc w:val="center"/>
              </w:trPr>
              <w:tc>
                <w:tcPr>
                  <w:tcW w:w="9591" w:type="dxa"/>
                  <w:shd w:val="clear" w:color="auto" w:fill="FFFFFF"/>
                  <w:vAlign w:val="center"/>
                  <w:hideMark/>
                </w:tcPr>
                <w:tbl>
                  <w:tblPr>
                    <w:tblW w:w="10125" w:type="dxa"/>
                    <w:tblCellSpacing w:w="6" w:type="dxa"/>
                    <w:shd w:val="clear" w:color="auto" w:fill="DCC7A7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"/>
                    <w:gridCol w:w="1897"/>
                    <w:gridCol w:w="993"/>
                    <w:gridCol w:w="1134"/>
                    <w:gridCol w:w="1134"/>
                    <w:gridCol w:w="992"/>
                    <w:gridCol w:w="992"/>
                    <w:gridCol w:w="1134"/>
                    <w:gridCol w:w="928"/>
                  </w:tblGrid>
                  <w:tr w:rsidR="000F6B64" w:rsidRPr="000F6B64" w:rsidTr="001A24D1">
                    <w:trPr>
                      <w:trHeight w:val="358"/>
                      <w:tblCellSpacing w:w="6" w:type="dxa"/>
                    </w:trPr>
                    <w:tc>
                      <w:tcPr>
                        <w:tcW w:w="2800" w:type="dxa"/>
                        <w:gridSpan w:val="2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向度</w:t>
                        </w:r>
                      </w:p>
                    </w:tc>
                    <w:tc>
                      <w:tcPr>
                        <w:tcW w:w="2115" w:type="dxa"/>
                        <w:gridSpan w:val="2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人文科學類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社會科學類</w:t>
                        </w:r>
                      </w:p>
                    </w:tc>
                    <w:tc>
                      <w:tcPr>
                        <w:tcW w:w="2114" w:type="dxa"/>
                        <w:gridSpan w:val="2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6B64">
                          <w:t>自然科學類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無限制</w:t>
                        </w:r>
                      </w:p>
                    </w:tc>
                  </w:tr>
                  <w:tr w:rsidR="000F6B64" w:rsidRPr="000F6B64" w:rsidTr="001A24D1">
                    <w:trPr>
                      <w:trHeight w:val="706"/>
                      <w:tblCellSpacing w:w="6" w:type="dxa"/>
                    </w:trPr>
                    <w:tc>
                      <w:tcPr>
                        <w:tcW w:w="2800" w:type="dxa"/>
                        <w:gridSpan w:val="2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子類名稱</w:t>
                        </w:r>
                      </w:p>
                    </w:tc>
                    <w:tc>
                      <w:tcPr>
                        <w:tcW w:w="981" w:type="dxa"/>
                        <w:shd w:val="clear" w:color="auto" w:fill="F2EACE"/>
                        <w:vAlign w:val="center"/>
                        <w:hideMark/>
                      </w:tcPr>
                      <w:p w:rsidR="000F6B64" w:rsidRDefault="000F6B64" w:rsidP="000F6B64">
                        <w:pPr>
                          <w:jc w:val="center"/>
                        </w:pPr>
                        <w:r w:rsidRPr="000F6B64">
                          <w:t>思維</w:t>
                        </w:r>
                      </w:p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方法</w:t>
                        </w:r>
                      </w:p>
                    </w:tc>
                    <w:tc>
                      <w:tcPr>
                        <w:tcW w:w="1122" w:type="dxa"/>
                        <w:shd w:val="clear" w:color="auto" w:fill="F2EACE"/>
                        <w:vAlign w:val="center"/>
                        <w:hideMark/>
                      </w:tcPr>
                      <w:p w:rsidR="000F6B64" w:rsidRDefault="000F6B64" w:rsidP="000F6B64">
                        <w:pPr>
                          <w:jc w:val="center"/>
                        </w:pPr>
                        <w:r w:rsidRPr="000F6B64">
                          <w:t>藝術</w:t>
                        </w:r>
                      </w:p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賞析</w:t>
                        </w:r>
                      </w:p>
                    </w:tc>
                    <w:tc>
                      <w:tcPr>
                        <w:tcW w:w="1122" w:type="dxa"/>
                        <w:shd w:val="clear" w:color="auto" w:fill="F2EACE"/>
                        <w:vAlign w:val="center"/>
                        <w:hideMark/>
                      </w:tcPr>
                      <w:p w:rsidR="000F6B64" w:rsidRDefault="000F6B64" w:rsidP="000F6B64">
                        <w:pPr>
                          <w:jc w:val="center"/>
                        </w:pPr>
                        <w:r w:rsidRPr="000F6B64">
                          <w:t>公民</w:t>
                        </w:r>
                      </w:p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教育</w:t>
                        </w:r>
                      </w:p>
                    </w:tc>
                    <w:tc>
                      <w:tcPr>
                        <w:tcW w:w="980" w:type="dxa"/>
                        <w:shd w:val="clear" w:color="auto" w:fill="F2EACE"/>
                        <w:vAlign w:val="center"/>
                        <w:hideMark/>
                      </w:tcPr>
                      <w:p w:rsidR="000F6B64" w:rsidRDefault="000F6B64" w:rsidP="000F6B64">
                        <w:pPr>
                          <w:jc w:val="center"/>
                        </w:pPr>
                        <w:r w:rsidRPr="000F6B64">
                          <w:t>文化</w:t>
                        </w:r>
                      </w:p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分析</w:t>
                        </w:r>
                      </w:p>
                    </w:tc>
                    <w:tc>
                      <w:tcPr>
                        <w:tcW w:w="980" w:type="dxa"/>
                        <w:shd w:val="clear" w:color="auto" w:fill="F2EACE"/>
                        <w:vAlign w:val="center"/>
                        <w:hideMark/>
                      </w:tcPr>
                      <w:p w:rsidR="000F6B64" w:rsidRDefault="000F6B64" w:rsidP="000F6B64">
                        <w:pPr>
                          <w:jc w:val="center"/>
                        </w:pPr>
                        <w:r w:rsidRPr="000F6B64">
                          <w:t>生命</w:t>
                        </w:r>
                      </w:p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科學</w:t>
                        </w:r>
                      </w:p>
                    </w:tc>
                    <w:tc>
                      <w:tcPr>
                        <w:tcW w:w="1122" w:type="dxa"/>
                        <w:shd w:val="clear" w:color="auto" w:fill="F2EACE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jc w:val="center"/>
                        </w:pPr>
                        <w:r w:rsidRPr="000F6B64">
                          <w:t>環境</w:t>
                        </w:r>
                        <w:r w:rsidRPr="000F6B64">
                          <w:br/>
                        </w:r>
                        <w:r w:rsidRPr="000F6B64">
                          <w:t>與生態</w:t>
                        </w:r>
                      </w:p>
                    </w:tc>
                    <w:tc>
                      <w:tcPr>
                        <w:tcW w:w="910" w:type="dxa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/>
                    </w:tc>
                  </w:tr>
                  <w:tr w:rsidR="000F6B64" w:rsidRPr="000F6B64" w:rsidTr="001A24D1">
                    <w:trPr>
                      <w:trHeight w:val="376"/>
                      <w:tblCellSpacing w:w="6" w:type="dxa"/>
                    </w:trPr>
                    <w:tc>
                      <w:tcPr>
                        <w:tcW w:w="903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人文社會科學院</w:t>
                        </w:r>
                      </w:p>
                    </w:tc>
                    <w:tc>
                      <w:tcPr>
                        <w:tcW w:w="1885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西洋語文學系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東亞語文學系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運動健康與休閒學系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F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傳統工藝</w:t>
                        </w:r>
                        <w:r w:rsidRPr="000F6B64">
                          <w:rPr>
                            <w:color w:val="555555"/>
                          </w:rPr>
                          <w:br/>
                        </w:r>
                        <w:r w:rsidRPr="000F6B64">
                          <w:rPr>
                            <w:color w:val="555555"/>
                          </w:rPr>
                          <w:t>與創意設計學系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376"/>
                      <w:tblCellSpacing w:w="6" w:type="dxa"/>
                    </w:trPr>
                    <w:tc>
                      <w:tcPr>
                        <w:tcW w:w="903" w:type="dxa"/>
                        <w:vMerge w:val="restart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法學院</w:t>
                        </w: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法律學系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政治法律學系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財經法律學系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366"/>
                      <w:tblCellSpacing w:w="6" w:type="dxa"/>
                    </w:trPr>
                    <w:tc>
                      <w:tcPr>
                        <w:tcW w:w="903" w:type="dxa"/>
                        <w:vMerge w:val="restart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管理學院</w:t>
                        </w: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應用經濟學系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亞太工商管理學系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資訊管理學系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金融管理學系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366"/>
                      <w:tblCellSpacing w:w="6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理學院</w:t>
                        </w: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應用數學系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應用化學系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應用物理學系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生命科學系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1122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CC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366"/>
                      <w:tblCellSpacing w:w="6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工學院</w:t>
                        </w: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電機工程學系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土木與環境工程學系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化學工程與</w:t>
                        </w:r>
                        <w:r w:rsidRPr="000F6B64">
                          <w:rPr>
                            <w:color w:val="555555"/>
                          </w:rPr>
                          <w:br/>
                        </w:r>
                        <w:r w:rsidRPr="000F6B64">
                          <w:rPr>
                            <w:color w:val="555555"/>
                          </w:rPr>
                          <w:t>材料工程學系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</w:tr>
                  <w:tr w:rsidR="000F6B64" w:rsidRPr="000F6B64" w:rsidTr="001A24D1">
                    <w:trPr>
                      <w:trHeight w:val="114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DCC7A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885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0F6B64">
                        <w:pPr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資訊工程學系</w:t>
                        </w:r>
                      </w:p>
                    </w:tc>
                    <w:tc>
                      <w:tcPr>
                        <w:tcW w:w="981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1122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FFFFF7"/>
                        <w:vAlign w:val="center"/>
                        <w:hideMark/>
                      </w:tcPr>
                      <w:p w:rsidR="000F6B64" w:rsidRPr="000F6B64" w:rsidRDefault="000F6B64" w:rsidP="001A24D1">
                        <w:pPr>
                          <w:jc w:val="center"/>
                          <w:rPr>
                            <w:color w:val="555555"/>
                          </w:rPr>
                        </w:pPr>
                        <w:r w:rsidRPr="000F6B64">
                          <w:rPr>
                            <w:color w:val="555555"/>
                          </w:rPr>
                          <w:t>●</w:t>
                        </w:r>
                      </w:p>
                    </w:tc>
                  </w:tr>
                </w:tbl>
                <w:p w:rsidR="000F6B64" w:rsidRPr="000F6B64" w:rsidRDefault="000F6B64" w:rsidP="000F6B64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:rsidR="000F6B64" w:rsidRPr="000F6B64" w:rsidRDefault="000F6B64" w:rsidP="000F6B64">
            <w:pPr>
              <w:widowControl/>
              <w:spacing w:line="18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0F6B64" w:rsidRDefault="000F6B64" w:rsidP="00CB319A">
      <w:pPr>
        <w:ind w:right="1440"/>
        <w:jc w:val="center"/>
        <w:rPr>
          <w:b/>
          <w:sz w:val="28"/>
          <w:szCs w:val="28"/>
        </w:rPr>
      </w:pPr>
    </w:p>
    <w:p w:rsidR="000F6B64" w:rsidRDefault="000F6B6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0F6B64" w:rsidRPr="000F6B64" w:rsidTr="000F6B64">
        <w:trPr>
          <w:trHeight w:val="180"/>
          <w:tblCellSpacing w:w="0" w:type="dxa"/>
          <w:jc w:val="center"/>
        </w:trPr>
        <w:tc>
          <w:tcPr>
            <w:tcW w:w="9781" w:type="dxa"/>
            <w:gridSpan w:val="2"/>
            <w:vAlign w:val="center"/>
            <w:hideMark/>
          </w:tcPr>
          <w:p w:rsidR="000F6B64" w:rsidRPr="000F6B64" w:rsidRDefault="000F6B64" w:rsidP="000F6B64">
            <w:pPr>
              <w:widowControl/>
              <w:spacing w:line="180" w:lineRule="atLeast"/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</w:pP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lastRenderedPageBreak/>
              <w:t>2.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【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99</w:t>
            </w:r>
            <w:r w:rsidRPr="000F6B64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學年度起】</w:t>
            </w:r>
          </w:p>
        </w:tc>
      </w:tr>
      <w:tr w:rsidR="000F6B64" w:rsidRPr="000F6B64" w:rsidTr="000F6B64">
        <w:trPr>
          <w:trHeight w:val="360"/>
          <w:tblCellSpacing w:w="0" w:type="dxa"/>
          <w:jc w:val="center"/>
        </w:trPr>
        <w:tc>
          <w:tcPr>
            <w:tcW w:w="6" w:type="dxa"/>
            <w:vAlign w:val="center"/>
            <w:hideMark/>
          </w:tcPr>
          <w:p w:rsidR="000F6B64" w:rsidRPr="000F6B64" w:rsidRDefault="000F6B64" w:rsidP="000F6B6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F6B64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775" w:type="dxa"/>
            <w:shd w:val="clear" w:color="auto" w:fill="FFFFFF"/>
            <w:vAlign w:val="center"/>
            <w:hideMark/>
          </w:tcPr>
          <w:tbl>
            <w:tblPr>
              <w:tblW w:w="9728" w:type="dxa"/>
              <w:tblCellSpacing w:w="6" w:type="dxa"/>
              <w:shd w:val="clear" w:color="auto" w:fill="DCC7A7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2613"/>
              <w:gridCol w:w="881"/>
              <w:gridCol w:w="881"/>
              <w:gridCol w:w="881"/>
              <w:gridCol w:w="881"/>
              <w:gridCol w:w="881"/>
              <w:gridCol w:w="881"/>
              <w:gridCol w:w="990"/>
            </w:tblGrid>
            <w:tr w:rsidR="000F6B64" w:rsidRPr="000F6B64" w:rsidTr="000F6B64">
              <w:trPr>
                <w:trHeight w:val="449"/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</w:pPr>
                  <w:r w:rsidRPr="000F6B64">
                    <w:t>向度</w:t>
                  </w:r>
                </w:p>
              </w:tc>
              <w:tc>
                <w:tcPr>
                  <w:tcW w:w="0" w:type="auto"/>
                  <w:gridSpan w:val="2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</w:pPr>
                  <w:r w:rsidRPr="000F6B64">
                    <w:t>人文科學類</w:t>
                  </w:r>
                </w:p>
              </w:tc>
              <w:tc>
                <w:tcPr>
                  <w:tcW w:w="0" w:type="auto"/>
                  <w:gridSpan w:val="2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</w:pPr>
                  <w:r w:rsidRPr="000F6B64">
                    <w:t>社會科學類</w:t>
                  </w:r>
                </w:p>
              </w:tc>
              <w:tc>
                <w:tcPr>
                  <w:tcW w:w="0" w:type="auto"/>
                  <w:gridSpan w:val="2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  <w:rPr>
                      <w:sz w:val="18"/>
                      <w:szCs w:val="18"/>
                    </w:rPr>
                  </w:pPr>
                  <w:r w:rsidRPr="000F6B64">
                    <w:t>自然科學類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</w:pPr>
                  <w:r w:rsidRPr="000F6B64">
                    <w:t>無限制</w:t>
                  </w:r>
                </w:p>
              </w:tc>
            </w:tr>
            <w:tr w:rsidR="000F6B64" w:rsidRPr="000F6B64" w:rsidTr="001A24D1">
              <w:trPr>
                <w:trHeight w:val="804"/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F2EACE"/>
                  <w:vAlign w:val="center"/>
                  <w:hideMark/>
                </w:tcPr>
                <w:p w:rsidR="000F6B64" w:rsidRPr="000F6B64" w:rsidRDefault="000F6B64" w:rsidP="000F6B64">
                  <w:pPr>
                    <w:jc w:val="center"/>
                  </w:pPr>
                  <w:r w:rsidRPr="000F6B64">
                    <w:t>子類名稱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思維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方法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美學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素養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公民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素養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文化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素養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科學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素養</w:t>
                  </w:r>
                </w:p>
              </w:tc>
              <w:tc>
                <w:tcPr>
                  <w:tcW w:w="893" w:type="dxa"/>
                  <w:shd w:val="clear" w:color="auto" w:fill="F2EACE"/>
                  <w:vAlign w:val="center"/>
                  <w:hideMark/>
                </w:tcPr>
                <w:p w:rsidR="000F6B64" w:rsidRDefault="000F6B64" w:rsidP="000F6B64">
                  <w:pPr>
                    <w:jc w:val="center"/>
                  </w:pPr>
                  <w:r w:rsidRPr="000F6B64">
                    <w:t>倫理</w:t>
                  </w:r>
                </w:p>
                <w:p w:rsidR="000F6B64" w:rsidRPr="000F6B64" w:rsidRDefault="000F6B64" w:rsidP="000F6B64">
                  <w:pPr>
                    <w:jc w:val="center"/>
                  </w:pPr>
                  <w:r w:rsidRPr="000F6B64">
                    <w:t>素養</w:t>
                  </w:r>
                </w:p>
              </w:tc>
              <w:tc>
                <w:tcPr>
                  <w:tcW w:w="1000" w:type="dxa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/>
              </w:tc>
            </w:tr>
            <w:tr w:rsidR="000F6B64" w:rsidRPr="000F6B64" w:rsidTr="000F6B64">
              <w:trPr>
                <w:trHeight w:val="461"/>
                <w:tblCellSpacing w:w="6" w:type="dxa"/>
              </w:trPr>
              <w:tc>
                <w:tcPr>
                  <w:tcW w:w="844" w:type="dxa"/>
                  <w:vMerge w:val="restart"/>
                  <w:shd w:val="clear" w:color="auto" w:fill="FFFFFF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人文社會科學院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西洋語文學系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2406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東亞語文學系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運動健康與休閒學系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F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EC53AE" w:rsidP="00EC53AE">
                  <w:pPr>
                    <w:rPr>
                      <w:color w:val="555555"/>
                    </w:rPr>
                  </w:pPr>
                  <w:r>
                    <w:rPr>
                      <w:rFonts w:hint="eastAsia"/>
                      <w:color w:val="555555"/>
                    </w:rPr>
                    <w:t>工藝與</w:t>
                  </w:r>
                  <w:r>
                    <w:rPr>
                      <w:color w:val="555555"/>
                    </w:rPr>
                    <w:t>創意設計</w:t>
                  </w:r>
                  <w:r>
                    <w:rPr>
                      <w:rFonts w:hint="eastAsia"/>
                      <w:color w:val="555555"/>
                    </w:rPr>
                    <w:t>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EC53AE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</w:tcPr>
                <w:p w:rsidR="00EC53AE" w:rsidRPr="000F6B64" w:rsidRDefault="00EC53AE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建築學系</w:t>
                  </w:r>
                  <w:r>
                    <w:rPr>
                      <w:rFonts w:hint="eastAsia"/>
                      <w:color w:val="555555"/>
                    </w:rPr>
                    <w:t>(107</w:t>
                  </w:r>
                  <w:r>
                    <w:rPr>
                      <w:rFonts w:hint="eastAsia"/>
                      <w:color w:val="555555"/>
                    </w:rPr>
                    <w:t>新增</w:t>
                  </w:r>
                  <w:r>
                    <w:rPr>
                      <w:rFonts w:hint="eastAsia"/>
                      <w:color w:val="555555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</w:tcPr>
                <w:p w:rsidR="00EC53AE" w:rsidRPr="000F6B64" w:rsidRDefault="00EC53AE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2406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運動競技學系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473"/>
                <w:tblCellSpacing w:w="6" w:type="dxa"/>
              </w:trPr>
              <w:tc>
                <w:tcPr>
                  <w:tcW w:w="844" w:type="dxa"/>
                  <w:vMerge w:val="restart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法學院</w:t>
                  </w:r>
                </w:p>
              </w:tc>
              <w:tc>
                <w:tcPr>
                  <w:tcW w:w="2406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法律學系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政治法律學系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財經法律學系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461"/>
                <w:tblCellSpacing w:w="6" w:type="dxa"/>
              </w:trPr>
              <w:tc>
                <w:tcPr>
                  <w:tcW w:w="844" w:type="dxa"/>
                  <w:vMerge w:val="restart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管理學院</w:t>
                  </w:r>
                </w:p>
              </w:tc>
              <w:tc>
                <w:tcPr>
                  <w:tcW w:w="2406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應用經濟學系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亞太工商管理學系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資訊管理學系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金融管理學系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461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理學院</w:t>
                  </w:r>
                </w:p>
              </w:tc>
              <w:tc>
                <w:tcPr>
                  <w:tcW w:w="2406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應用數學系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應用化學系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應用物理學系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生命科學系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CC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</w:tr>
            <w:tr w:rsidR="000F6B64" w:rsidRPr="000F6B64" w:rsidTr="000F6B64">
              <w:trPr>
                <w:trHeight w:val="461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工學院</w:t>
                  </w:r>
                </w:p>
              </w:tc>
              <w:tc>
                <w:tcPr>
                  <w:tcW w:w="2406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電機工程學系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土木與環境工程學系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EC53AE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化學工程與材料工程學系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  <w:tr w:rsidR="000F6B64" w:rsidRPr="000F6B64" w:rsidTr="000F6B64">
              <w:trPr>
                <w:trHeight w:val="142"/>
                <w:tblCellSpacing w:w="6" w:type="dxa"/>
              </w:trPr>
              <w:tc>
                <w:tcPr>
                  <w:tcW w:w="0" w:type="auto"/>
                  <w:vMerge/>
                  <w:shd w:val="clear" w:color="auto" w:fill="DCC7A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0F6B64">
                  <w:pPr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資訊工程學系</w:t>
                  </w: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0" w:type="auto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</w:p>
              </w:tc>
              <w:tc>
                <w:tcPr>
                  <w:tcW w:w="1000" w:type="dxa"/>
                  <w:shd w:val="clear" w:color="auto" w:fill="FFFFF7"/>
                  <w:vAlign w:val="center"/>
                  <w:hideMark/>
                </w:tcPr>
                <w:p w:rsidR="000F6B64" w:rsidRPr="000F6B64" w:rsidRDefault="000F6B64" w:rsidP="001A24D1">
                  <w:pPr>
                    <w:jc w:val="center"/>
                    <w:rPr>
                      <w:color w:val="555555"/>
                    </w:rPr>
                  </w:pPr>
                  <w:r w:rsidRPr="000F6B64">
                    <w:rPr>
                      <w:color w:val="555555"/>
                    </w:rPr>
                    <w:t>●</w:t>
                  </w:r>
                </w:p>
              </w:tc>
            </w:tr>
          </w:tbl>
          <w:p w:rsidR="000F6B64" w:rsidRPr="000F6B64" w:rsidRDefault="000F6B64" w:rsidP="000F6B6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B319A" w:rsidRPr="00EC53AE" w:rsidRDefault="00EC53AE" w:rsidP="00EC53AE">
      <w:pPr>
        <w:ind w:right="-330"/>
        <w:rPr>
          <w:rFonts w:ascii="標楷體" w:eastAsia="標楷體" w:hAnsi="標楷體"/>
          <w:b/>
          <w:sz w:val="28"/>
          <w:szCs w:val="28"/>
        </w:rPr>
      </w:pPr>
      <w:r w:rsidRPr="00EC53AE">
        <w:rPr>
          <w:rFonts w:ascii="標楷體" w:eastAsia="標楷體" w:hAnsi="標楷體" w:hint="eastAsia"/>
          <w:color w:val="555555"/>
        </w:rPr>
        <w:t>【</w:t>
      </w:r>
      <w:r w:rsidRPr="00EC53AE">
        <w:rPr>
          <w:rFonts w:ascii="標楷體" w:eastAsia="標楷體" w:hAnsi="標楷體"/>
          <w:color w:val="555555"/>
        </w:rPr>
        <w:t>化學工程與材料工程學系</w:t>
      </w:r>
      <w:r w:rsidRPr="00EC53AE">
        <w:rPr>
          <w:rFonts w:ascii="標楷體" w:eastAsia="標楷體" w:hAnsi="標楷體" w:hint="eastAsia"/>
          <w:color w:val="555555"/>
        </w:rPr>
        <w:t>】</w:t>
      </w:r>
      <w:r>
        <w:rPr>
          <w:rFonts w:ascii="標楷體" w:eastAsia="標楷體" w:hAnsi="標楷體" w:hint="eastAsia"/>
          <w:color w:val="555555"/>
        </w:rPr>
        <w:t>99學期起</w:t>
      </w:r>
      <w:r w:rsidRPr="00EC53AE">
        <w:rPr>
          <w:rFonts w:ascii="標楷體" w:eastAsia="標楷體" w:hAnsi="標楷體" w:hint="eastAsia"/>
          <w:color w:val="555555"/>
        </w:rPr>
        <w:t>原排除「思維方法」類</w:t>
      </w:r>
      <w:r>
        <w:rPr>
          <w:rFonts w:ascii="標楷體" w:eastAsia="標楷體" w:hAnsi="標楷體" w:hint="eastAsia"/>
          <w:color w:val="555555"/>
        </w:rPr>
        <w:t>；</w:t>
      </w:r>
      <w:r w:rsidRPr="00EC53AE">
        <w:rPr>
          <w:rFonts w:ascii="標楷體" w:eastAsia="標楷體" w:hAnsi="標楷體" w:hint="eastAsia"/>
          <w:color w:val="555555"/>
        </w:rPr>
        <w:t>106年改「無限制」</w:t>
      </w:r>
      <w:r>
        <w:rPr>
          <w:rFonts w:ascii="標楷體" w:eastAsia="標楷體" w:hAnsi="標楷體" w:hint="eastAsia"/>
          <w:color w:val="555555"/>
        </w:rPr>
        <w:t>，該系</w:t>
      </w:r>
      <w:r w:rsidR="00BD5D07">
        <w:rPr>
          <w:rFonts w:ascii="標楷體" w:eastAsia="標楷體" w:hAnsi="標楷體" w:hint="eastAsia"/>
          <w:color w:val="555555"/>
        </w:rPr>
        <w:t>各年入學</w:t>
      </w:r>
      <w:bookmarkStart w:id="1" w:name="_GoBack"/>
      <w:bookmarkEnd w:id="1"/>
      <w:r>
        <w:rPr>
          <w:rFonts w:ascii="標楷體" w:eastAsia="標楷體" w:hAnsi="標楷體" w:hint="eastAsia"/>
          <w:color w:val="555555"/>
        </w:rPr>
        <w:t>學生一併適用。</w:t>
      </w:r>
    </w:p>
    <w:p w:rsidR="00EC53AE" w:rsidRPr="00EC53AE" w:rsidRDefault="00EC53AE">
      <w:pPr>
        <w:ind w:right="1440"/>
        <w:rPr>
          <w:b/>
          <w:sz w:val="28"/>
          <w:szCs w:val="28"/>
        </w:rPr>
      </w:pPr>
    </w:p>
    <w:sectPr w:rsidR="00EC53AE" w:rsidRPr="00EC53AE" w:rsidSect="005F027B">
      <w:footerReference w:type="default" r:id="rId12"/>
      <w:pgSz w:w="11906" w:h="16838" w:code="9"/>
      <w:pgMar w:top="1440" w:right="1440" w:bottom="1276" w:left="144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06" w:rsidRDefault="00892A06" w:rsidP="00495677">
      <w:r>
        <w:separator/>
      </w:r>
    </w:p>
  </w:endnote>
  <w:endnote w:type="continuationSeparator" w:id="0">
    <w:p w:rsidR="00892A06" w:rsidRDefault="00892A06" w:rsidP="004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6670"/>
      <w:docPartObj>
        <w:docPartGallery w:val="Page Numbers (Bottom of Page)"/>
        <w:docPartUnique/>
      </w:docPartObj>
    </w:sdtPr>
    <w:sdtEndPr/>
    <w:sdtContent>
      <w:p w:rsidR="00495677" w:rsidRDefault="00D13D89" w:rsidP="005F02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07" w:rsidRPr="00BD5D07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06" w:rsidRDefault="00892A06" w:rsidP="00495677">
      <w:r>
        <w:separator/>
      </w:r>
    </w:p>
  </w:footnote>
  <w:footnote w:type="continuationSeparator" w:id="0">
    <w:p w:rsidR="00892A06" w:rsidRDefault="00892A06" w:rsidP="0049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7"/>
    <w:rsid w:val="00025793"/>
    <w:rsid w:val="000F6B64"/>
    <w:rsid w:val="001176EA"/>
    <w:rsid w:val="001A24D1"/>
    <w:rsid w:val="001A6D45"/>
    <w:rsid w:val="001B5CDC"/>
    <w:rsid w:val="00222F34"/>
    <w:rsid w:val="00257093"/>
    <w:rsid w:val="00347C18"/>
    <w:rsid w:val="003A1D91"/>
    <w:rsid w:val="004304F1"/>
    <w:rsid w:val="00467E2F"/>
    <w:rsid w:val="00495677"/>
    <w:rsid w:val="004C6581"/>
    <w:rsid w:val="004D08A7"/>
    <w:rsid w:val="00521BD5"/>
    <w:rsid w:val="0057638D"/>
    <w:rsid w:val="005818AB"/>
    <w:rsid w:val="005A173D"/>
    <w:rsid w:val="005F027B"/>
    <w:rsid w:val="0062041D"/>
    <w:rsid w:val="006608FC"/>
    <w:rsid w:val="006A0622"/>
    <w:rsid w:val="0082237C"/>
    <w:rsid w:val="008624B9"/>
    <w:rsid w:val="00892A06"/>
    <w:rsid w:val="008B1676"/>
    <w:rsid w:val="00946DF5"/>
    <w:rsid w:val="009A55C0"/>
    <w:rsid w:val="009F6E7B"/>
    <w:rsid w:val="00A06903"/>
    <w:rsid w:val="00AC574B"/>
    <w:rsid w:val="00BD5D07"/>
    <w:rsid w:val="00BF40F5"/>
    <w:rsid w:val="00C32BD5"/>
    <w:rsid w:val="00C57220"/>
    <w:rsid w:val="00C62463"/>
    <w:rsid w:val="00CB319A"/>
    <w:rsid w:val="00D13D89"/>
    <w:rsid w:val="00D168D7"/>
    <w:rsid w:val="00D82575"/>
    <w:rsid w:val="00E77244"/>
    <w:rsid w:val="00EC53AE"/>
    <w:rsid w:val="00ED2D12"/>
    <w:rsid w:val="00F17B35"/>
    <w:rsid w:val="00F30BEF"/>
    <w:rsid w:val="00FA3683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7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2579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57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2579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025793"/>
    <w:rPr>
      <w:b/>
      <w:bCs/>
    </w:rPr>
  </w:style>
  <w:style w:type="paragraph" w:styleId="Web">
    <w:name w:val="Normal (Web)"/>
    <w:basedOn w:val="a"/>
    <w:uiPriority w:val="99"/>
    <w:rsid w:val="004956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946DF5"/>
    <w:pPr>
      <w:ind w:leftChars="200" w:left="480"/>
    </w:pPr>
    <w:rPr>
      <w:rFonts w:ascii="Calibri" w:hAnsi="Calibri"/>
      <w:szCs w:val="22"/>
    </w:rPr>
  </w:style>
  <w:style w:type="paragraph" w:customStyle="1" w:styleId="style2">
    <w:name w:val="style2"/>
    <w:basedOn w:val="a"/>
    <w:rsid w:val="000F6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6">
    <w:name w:val="style6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BD4B00"/>
      <w:kern w:val="0"/>
    </w:rPr>
  </w:style>
  <w:style w:type="paragraph" w:customStyle="1" w:styleId="blue13b">
    <w:name w:val="blue13b"/>
    <w:basedOn w:val="a"/>
    <w:rsid w:val="000F6B64"/>
    <w:pPr>
      <w:widowControl/>
      <w:spacing w:before="100" w:beforeAutospacing="1" w:after="100" w:afterAutospacing="1" w:line="240" w:lineRule="atLeast"/>
    </w:pPr>
    <w:rPr>
      <w:rFonts w:ascii="Arial" w:hAnsi="Arial" w:cs="Arial"/>
      <w:b/>
      <w:bCs/>
      <w:color w:val="1C81CC"/>
      <w:kern w:val="0"/>
      <w:sz w:val="20"/>
      <w:szCs w:val="20"/>
    </w:rPr>
  </w:style>
  <w:style w:type="paragraph" w:customStyle="1" w:styleId="red13b">
    <w:name w:val="red13b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CC0000"/>
      <w:kern w:val="0"/>
      <w:sz w:val="20"/>
      <w:szCs w:val="20"/>
    </w:rPr>
  </w:style>
  <w:style w:type="paragraph" w:customStyle="1" w:styleId="org13b">
    <w:name w:val="org13b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BD4B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24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7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2579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57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2579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025793"/>
    <w:rPr>
      <w:b/>
      <w:bCs/>
    </w:rPr>
  </w:style>
  <w:style w:type="paragraph" w:styleId="Web">
    <w:name w:val="Normal (Web)"/>
    <w:basedOn w:val="a"/>
    <w:uiPriority w:val="99"/>
    <w:rsid w:val="004956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946DF5"/>
    <w:pPr>
      <w:ind w:leftChars="200" w:left="480"/>
    </w:pPr>
    <w:rPr>
      <w:rFonts w:ascii="Calibri" w:hAnsi="Calibri"/>
      <w:szCs w:val="22"/>
    </w:rPr>
  </w:style>
  <w:style w:type="paragraph" w:customStyle="1" w:styleId="style2">
    <w:name w:val="style2"/>
    <w:basedOn w:val="a"/>
    <w:rsid w:val="000F6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6">
    <w:name w:val="style6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BD4B00"/>
      <w:kern w:val="0"/>
    </w:rPr>
  </w:style>
  <w:style w:type="paragraph" w:customStyle="1" w:styleId="blue13b">
    <w:name w:val="blue13b"/>
    <w:basedOn w:val="a"/>
    <w:rsid w:val="000F6B64"/>
    <w:pPr>
      <w:widowControl/>
      <w:spacing w:before="100" w:beforeAutospacing="1" w:after="100" w:afterAutospacing="1" w:line="240" w:lineRule="atLeast"/>
    </w:pPr>
    <w:rPr>
      <w:rFonts w:ascii="Arial" w:hAnsi="Arial" w:cs="Arial"/>
      <w:b/>
      <w:bCs/>
      <w:color w:val="1C81CC"/>
      <w:kern w:val="0"/>
      <w:sz w:val="20"/>
      <w:szCs w:val="20"/>
    </w:rPr>
  </w:style>
  <w:style w:type="paragraph" w:customStyle="1" w:styleId="red13b">
    <w:name w:val="red13b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CC0000"/>
      <w:kern w:val="0"/>
      <w:sz w:val="20"/>
      <w:szCs w:val="20"/>
    </w:rPr>
  </w:style>
  <w:style w:type="paragraph" w:customStyle="1" w:styleId="org13b">
    <w:name w:val="org13b"/>
    <w:basedOn w:val="a"/>
    <w:rsid w:val="000F6B64"/>
    <w:pPr>
      <w:widowControl/>
      <w:spacing w:before="100" w:beforeAutospacing="1" w:after="100" w:afterAutospacing="1" w:line="450" w:lineRule="atLeast"/>
    </w:pPr>
    <w:rPr>
      <w:rFonts w:ascii="Arial" w:hAnsi="Arial" w:cs="Arial"/>
      <w:b/>
      <w:bCs/>
      <w:color w:val="BD4B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c.nuk.edu.tw/files/11-1001-177-1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c.nuk.edu.tw/files/11-1001-177-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c.nuk.edu.tw/files/11-1001-177-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c.nuk.edu.tw/files/11-1001-177-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4012-E360-4146-BFDC-255250A6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1820</Words>
  <Characters>1893</Characters>
  <Application>Microsoft Office Word</Application>
  <DocSecurity>0</DocSecurity>
  <Lines>473</Lines>
  <Paragraphs>337</Paragraphs>
  <ScaleCrop>false</ScaleCrop>
  <Company>Sky123.Org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10</cp:revision>
  <cp:lastPrinted>2018-04-17T08:19:00Z</cp:lastPrinted>
  <dcterms:created xsi:type="dcterms:W3CDTF">2018-04-17T08:14:00Z</dcterms:created>
  <dcterms:modified xsi:type="dcterms:W3CDTF">2018-11-06T08:03:00Z</dcterms:modified>
</cp:coreProperties>
</file>