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C2E" w:rsidRPr="00E46F9C" w:rsidRDefault="001C5C2E" w:rsidP="0009456B">
      <w:pPr>
        <w:widowControl/>
        <w:shd w:val="clear" w:color="auto" w:fill="FFFFFF"/>
        <w:tabs>
          <w:tab w:val="left" w:pos="2055"/>
          <w:tab w:val="center" w:pos="7285"/>
        </w:tabs>
        <w:spacing w:line="440" w:lineRule="exact"/>
        <w:jc w:val="center"/>
        <w:rPr>
          <w:rFonts w:ascii="Times New Roman" w:eastAsia="標楷體" w:hAnsi="標楷體"/>
          <w:bCs/>
          <w:color w:val="000000"/>
          <w:kern w:val="0"/>
          <w:sz w:val="32"/>
          <w:szCs w:val="32"/>
        </w:rPr>
      </w:pPr>
      <w:r w:rsidRPr="00E46F9C">
        <w:rPr>
          <w:rFonts w:ascii="Times New Roman" w:eastAsia="標楷體" w:hAnsi="標楷體" w:hint="eastAsia"/>
          <w:bCs/>
          <w:color w:val="000000"/>
          <w:kern w:val="0"/>
          <w:sz w:val="32"/>
          <w:szCs w:val="32"/>
        </w:rPr>
        <w:t>國立高雄大學通識教育中心課程委員會設置辦法</w:t>
      </w:r>
    </w:p>
    <w:p w:rsidR="001C5C2E" w:rsidRDefault="001C5C2E" w:rsidP="00E46F9C">
      <w:pPr>
        <w:pStyle w:val="Web"/>
        <w:spacing w:before="0" w:beforeAutospacing="0" w:after="0" w:afterAutospacing="0" w:line="240" w:lineRule="atLeast"/>
        <w:jc w:val="both"/>
        <w:rPr>
          <w:rFonts w:ascii="Times New Roman" w:eastAsia="標楷體" w:hAnsi="Times New Roman" w:cs="Times New Roman"/>
          <w:color w:val="000000"/>
          <w:sz w:val="20"/>
          <w:szCs w:val="20"/>
        </w:rPr>
      </w:pPr>
    </w:p>
    <w:p w:rsidR="001C5C2E" w:rsidRPr="00E46F9C" w:rsidRDefault="001C5C2E" w:rsidP="0075226A">
      <w:pPr>
        <w:pStyle w:val="Web"/>
        <w:snapToGrid w:val="0"/>
        <w:spacing w:before="0" w:beforeAutospacing="0" w:after="0" w:afterAutospacing="0" w:line="240" w:lineRule="atLeast"/>
        <w:jc w:val="both"/>
        <w:rPr>
          <w:rFonts w:ascii="Times New Roman" w:eastAsia="標楷體" w:hAnsi="標楷體" w:cs="Times New Roman"/>
          <w:color w:val="000000"/>
          <w:sz w:val="20"/>
          <w:szCs w:val="20"/>
        </w:rPr>
      </w:pPr>
      <w:r w:rsidRPr="00333F29">
        <w:rPr>
          <w:rFonts w:ascii="Times New Roman" w:eastAsia="標楷體" w:hAnsi="Times New Roman" w:cs="Times New Roman"/>
          <w:color w:val="000000"/>
          <w:sz w:val="20"/>
          <w:szCs w:val="20"/>
        </w:rPr>
        <w:t> </w:t>
      </w:r>
      <w:smartTag w:uri="urn:schemas-microsoft-com:office:smarttags" w:element="chsdate">
        <w:smartTagPr>
          <w:attr w:name="Year" w:val="1999"/>
          <w:attr w:name="Month" w:val="1"/>
          <w:attr w:name="Day" w:val="5"/>
          <w:attr w:name="IsLunarDate" w:val="False"/>
          <w:attr w:name="IsROCDate" w:val="False"/>
        </w:smartTagPr>
        <w:r w:rsidRPr="00E46F9C">
          <w:rPr>
            <w:rFonts w:ascii="Times New Roman" w:eastAsia="標楷體" w:hAnsi="Times New Roman" w:cs="Times New Roman"/>
            <w:color w:val="000000"/>
            <w:sz w:val="20"/>
            <w:szCs w:val="20"/>
          </w:rPr>
          <w:t>99</w:t>
        </w:r>
        <w:r w:rsidRPr="00E46F9C">
          <w:rPr>
            <w:rFonts w:ascii="Times New Roman" w:eastAsia="標楷體" w:hAnsi="Times New Roman" w:cs="Times New Roman" w:hint="eastAsia"/>
            <w:color w:val="000000"/>
            <w:sz w:val="20"/>
            <w:szCs w:val="20"/>
          </w:rPr>
          <w:t>年</w:t>
        </w:r>
        <w:r w:rsidRPr="00E46F9C">
          <w:rPr>
            <w:rFonts w:ascii="Times New Roman" w:eastAsia="標楷體" w:hAnsi="Times New Roman" w:cs="Times New Roman"/>
            <w:color w:val="000000"/>
            <w:sz w:val="20"/>
            <w:szCs w:val="20"/>
          </w:rPr>
          <w:t>1</w:t>
        </w:r>
        <w:r w:rsidRPr="00E46F9C">
          <w:rPr>
            <w:rFonts w:ascii="Times New Roman" w:eastAsia="標楷體" w:hAnsi="Times New Roman" w:cs="Times New Roman" w:hint="eastAsia"/>
            <w:color w:val="000000"/>
            <w:sz w:val="20"/>
            <w:szCs w:val="20"/>
          </w:rPr>
          <w:t>月</w:t>
        </w:r>
        <w:r w:rsidRPr="00E46F9C">
          <w:rPr>
            <w:rFonts w:ascii="Times New Roman" w:eastAsia="標楷體" w:hAnsi="Times New Roman" w:cs="Times New Roman"/>
            <w:color w:val="000000"/>
            <w:sz w:val="20"/>
            <w:szCs w:val="20"/>
          </w:rPr>
          <w:t>5</w:t>
        </w:r>
        <w:r w:rsidRPr="00E46F9C">
          <w:rPr>
            <w:rFonts w:ascii="Times New Roman" w:eastAsia="標楷體" w:hAnsi="Times New Roman" w:cs="Times New Roman" w:hint="eastAsia"/>
            <w:color w:val="000000"/>
            <w:sz w:val="20"/>
            <w:szCs w:val="20"/>
          </w:rPr>
          <w:t>日</w:t>
        </w:r>
      </w:smartTag>
      <w:r w:rsidRPr="00E46F9C">
        <w:rPr>
          <w:rFonts w:ascii="Times New Roman" w:eastAsia="標楷體" w:hAnsi="Times New Roman" w:cs="Times New Roman"/>
          <w:color w:val="000000"/>
          <w:sz w:val="20"/>
          <w:szCs w:val="20"/>
        </w:rPr>
        <w:t xml:space="preserve"> 98</w:t>
      </w:r>
      <w:r w:rsidRPr="00E46F9C">
        <w:rPr>
          <w:rFonts w:ascii="Times New Roman" w:eastAsia="標楷體" w:hAnsi="標楷體" w:cs="Times New Roman" w:hint="eastAsia"/>
          <w:color w:val="000000"/>
          <w:sz w:val="20"/>
          <w:szCs w:val="20"/>
        </w:rPr>
        <w:t>學年度第</w:t>
      </w:r>
      <w:r w:rsidRPr="00E46F9C">
        <w:rPr>
          <w:rFonts w:ascii="Times New Roman" w:eastAsia="標楷體" w:hAnsi="Times New Roman" w:cs="Times New Roman"/>
          <w:color w:val="000000"/>
          <w:sz w:val="20"/>
          <w:szCs w:val="20"/>
        </w:rPr>
        <w:t>2</w:t>
      </w:r>
      <w:r w:rsidRPr="00E46F9C">
        <w:rPr>
          <w:rFonts w:ascii="Times New Roman" w:eastAsia="標楷體" w:hAnsi="標楷體" w:cs="Times New Roman" w:hint="eastAsia"/>
          <w:color w:val="000000"/>
          <w:sz w:val="20"/>
          <w:szCs w:val="20"/>
        </w:rPr>
        <w:t>教教務會議修正通過</w:t>
      </w:r>
    </w:p>
    <w:p w:rsidR="001C5C2E" w:rsidRPr="00E46F9C" w:rsidRDefault="001C5C2E" w:rsidP="0075226A">
      <w:pPr>
        <w:pStyle w:val="Web"/>
        <w:snapToGrid w:val="0"/>
        <w:spacing w:before="0" w:beforeAutospacing="0" w:after="0" w:afterAutospacing="0" w:line="240" w:lineRule="atLeast"/>
        <w:jc w:val="both"/>
        <w:rPr>
          <w:rFonts w:ascii="Times New Roman" w:eastAsia="標楷體" w:hAnsi="標楷體" w:cs="Times New Roman"/>
          <w:color w:val="000000"/>
          <w:sz w:val="20"/>
          <w:szCs w:val="20"/>
        </w:rPr>
      </w:pPr>
      <w:r w:rsidRPr="00E46F9C">
        <w:rPr>
          <w:rFonts w:ascii="Times New Roman" w:eastAsia="標楷體" w:hAnsi="標楷體" w:cs="Times New Roman"/>
          <w:color w:val="000000"/>
          <w:sz w:val="20"/>
          <w:szCs w:val="20"/>
        </w:rPr>
        <w:t>104</w:t>
      </w:r>
      <w:r w:rsidRPr="00E46F9C">
        <w:rPr>
          <w:rFonts w:ascii="Times New Roman" w:eastAsia="標楷體" w:hAnsi="標楷體" w:cs="Times New Roman" w:hint="eastAsia"/>
          <w:color w:val="000000"/>
          <w:sz w:val="20"/>
          <w:szCs w:val="20"/>
        </w:rPr>
        <w:t>年</w:t>
      </w:r>
      <w:r w:rsidRPr="00E46F9C">
        <w:rPr>
          <w:rFonts w:ascii="Times New Roman" w:eastAsia="標楷體" w:hAnsi="標楷體" w:cs="Times New Roman"/>
          <w:color w:val="000000"/>
          <w:sz w:val="20"/>
          <w:szCs w:val="20"/>
        </w:rPr>
        <w:t>3</w:t>
      </w:r>
      <w:r w:rsidRPr="00E46F9C">
        <w:rPr>
          <w:rFonts w:ascii="Times New Roman" w:eastAsia="標楷體" w:hAnsi="標楷體" w:cs="Times New Roman" w:hint="eastAsia"/>
          <w:color w:val="000000"/>
          <w:sz w:val="20"/>
          <w:szCs w:val="20"/>
        </w:rPr>
        <w:t>月</w:t>
      </w:r>
      <w:r w:rsidRPr="00E46F9C">
        <w:rPr>
          <w:rFonts w:ascii="Times New Roman" w:eastAsia="標楷體" w:hAnsi="標楷體" w:cs="Times New Roman"/>
          <w:color w:val="000000"/>
          <w:sz w:val="20"/>
          <w:szCs w:val="20"/>
        </w:rPr>
        <w:t>17</w:t>
      </w:r>
      <w:r w:rsidRPr="00E46F9C">
        <w:rPr>
          <w:rFonts w:ascii="Times New Roman" w:eastAsia="標楷體" w:hAnsi="標楷體" w:cs="Times New Roman" w:hint="eastAsia"/>
          <w:color w:val="000000"/>
          <w:sz w:val="20"/>
          <w:szCs w:val="20"/>
        </w:rPr>
        <w:t>日通識教育中心</w:t>
      </w:r>
      <w:r w:rsidRPr="00E46F9C">
        <w:rPr>
          <w:rFonts w:ascii="Times New Roman" w:eastAsia="標楷體" w:hAnsi="標楷體" w:cs="Times New Roman"/>
          <w:color w:val="000000"/>
          <w:sz w:val="20"/>
          <w:szCs w:val="20"/>
        </w:rPr>
        <w:t>103</w:t>
      </w:r>
      <w:r w:rsidRPr="00E46F9C">
        <w:rPr>
          <w:rFonts w:ascii="Times New Roman" w:eastAsia="標楷體" w:hAnsi="標楷體" w:cs="Times New Roman" w:hint="eastAsia"/>
          <w:color w:val="000000"/>
          <w:sz w:val="20"/>
          <w:szCs w:val="20"/>
        </w:rPr>
        <w:t>學年度第</w:t>
      </w:r>
      <w:r w:rsidRPr="00E46F9C">
        <w:rPr>
          <w:rFonts w:ascii="Times New Roman" w:eastAsia="標楷體" w:hAnsi="標楷體" w:cs="Times New Roman"/>
          <w:color w:val="000000"/>
          <w:sz w:val="20"/>
          <w:szCs w:val="20"/>
        </w:rPr>
        <w:t>5</w:t>
      </w:r>
      <w:r w:rsidRPr="00E46F9C">
        <w:rPr>
          <w:rFonts w:ascii="Times New Roman" w:eastAsia="標楷體" w:hAnsi="標楷體" w:cs="Times New Roman" w:hint="eastAsia"/>
          <w:color w:val="000000"/>
          <w:sz w:val="20"/>
          <w:szCs w:val="20"/>
        </w:rPr>
        <w:t>次中心會議通過修正第二條、第三條、第七條，</w:t>
      </w:r>
      <w:r w:rsidRPr="00E46F9C">
        <w:rPr>
          <w:rFonts w:ascii="Times New Roman" w:eastAsia="標楷體" w:hAnsi="Times New Roman" w:cs="Times New Roman"/>
          <w:sz w:val="20"/>
          <w:szCs w:val="20"/>
        </w:rPr>
        <w:t>104</w:t>
      </w:r>
      <w:r w:rsidRPr="00E46F9C">
        <w:rPr>
          <w:rFonts w:ascii="Times New Roman" w:eastAsia="標楷體" w:hAnsi="Times New Roman" w:cs="Times New Roman" w:hint="eastAsia"/>
          <w:sz w:val="20"/>
          <w:szCs w:val="20"/>
        </w:rPr>
        <w:t>年</w:t>
      </w:r>
      <w:r w:rsidRPr="00E46F9C">
        <w:rPr>
          <w:rFonts w:ascii="Times New Roman" w:eastAsia="標楷體" w:hAnsi="Times New Roman" w:cs="Times New Roman"/>
          <w:sz w:val="20"/>
          <w:szCs w:val="20"/>
        </w:rPr>
        <w:t>5</w:t>
      </w:r>
      <w:r w:rsidRPr="00E46F9C">
        <w:rPr>
          <w:rFonts w:ascii="Times New Roman" w:eastAsia="標楷體" w:hAnsi="Times New Roman" w:cs="Times New Roman" w:hint="eastAsia"/>
          <w:sz w:val="20"/>
          <w:szCs w:val="20"/>
        </w:rPr>
        <w:t>月</w:t>
      </w:r>
      <w:r w:rsidRPr="00E46F9C">
        <w:rPr>
          <w:rFonts w:ascii="Times New Roman" w:eastAsia="標楷體" w:hAnsi="Times New Roman" w:cs="Times New Roman"/>
          <w:sz w:val="20"/>
          <w:szCs w:val="20"/>
        </w:rPr>
        <w:t>26</w:t>
      </w:r>
      <w:r w:rsidRPr="00E46F9C">
        <w:rPr>
          <w:rFonts w:ascii="Times New Roman" w:eastAsia="標楷體" w:hAnsi="Times New Roman" w:cs="Times New Roman" w:hint="eastAsia"/>
          <w:sz w:val="20"/>
          <w:szCs w:val="20"/>
        </w:rPr>
        <w:t>日</w:t>
      </w:r>
      <w:r w:rsidRPr="00E46F9C">
        <w:rPr>
          <w:rFonts w:ascii="Times New Roman" w:eastAsia="標楷體" w:hAnsi="Times New Roman" w:cs="Times New Roman"/>
          <w:sz w:val="20"/>
          <w:szCs w:val="20"/>
        </w:rPr>
        <w:t>103</w:t>
      </w:r>
      <w:r w:rsidRPr="00E46F9C">
        <w:rPr>
          <w:rFonts w:ascii="Times New Roman" w:eastAsia="標楷體" w:hAnsi="Times New Roman" w:cs="Times New Roman" w:hint="eastAsia"/>
          <w:sz w:val="20"/>
          <w:szCs w:val="20"/>
        </w:rPr>
        <w:t>學年度第</w:t>
      </w:r>
      <w:r w:rsidRPr="00E46F9C">
        <w:rPr>
          <w:rFonts w:ascii="Times New Roman" w:eastAsia="標楷體" w:hAnsi="Times New Roman" w:cs="Times New Roman"/>
          <w:sz w:val="20"/>
          <w:szCs w:val="20"/>
        </w:rPr>
        <w:t>3</w:t>
      </w:r>
      <w:r w:rsidRPr="00E46F9C">
        <w:rPr>
          <w:rFonts w:ascii="Times New Roman" w:eastAsia="標楷體" w:hAnsi="Times New Roman" w:cs="Times New Roman" w:hint="eastAsia"/>
          <w:sz w:val="20"/>
          <w:szCs w:val="20"/>
        </w:rPr>
        <w:t>次教務會議備查修正</w:t>
      </w:r>
      <w:r w:rsidRPr="00E46F9C">
        <w:rPr>
          <w:rFonts w:ascii="Times New Roman" w:eastAsia="標楷體" w:hAnsi="標楷體" w:cs="Times New Roman" w:hint="eastAsia"/>
          <w:color w:val="000000"/>
          <w:sz w:val="20"/>
          <w:szCs w:val="20"/>
        </w:rPr>
        <w:t>第二條、第三條、第七條</w:t>
      </w:r>
      <w:r>
        <w:rPr>
          <w:rFonts w:ascii="Times New Roman" w:eastAsia="標楷體" w:hAnsi="標楷體" w:cs="Times New Roman" w:hint="eastAsia"/>
          <w:color w:val="000000"/>
          <w:sz w:val="20"/>
          <w:szCs w:val="20"/>
        </w:rPr>
        <w:t>，</w:t>
      </w:r>
      <w:r>
        <w:rPr>
          <w:rFonts w:ascii="Times New Roman" w:eastAsia="標楷體" w:hAnsi="標楷體" w:cs="Times New Roman"/>
          <w:color w:val="000000"/>
          <w:sz w:val="20"/>
          <w:szCs w:val="20"/>
        </w:rPr>
        <w:t>104</w:t>
      </w:r>
      <w:r>
        <w:rPr>
          <w:rFonts w:ascii="Times New Roman" w:eastAsia="標楷體" w:hAnsi="標楷體" w:cs="Times New Roman" w:hint="eastAsia"/>
          <w:color w:val="000000"/>
          <w:sz w:val="20"/>
          <w:szCs w:val="20"/>
        </w:rPr>
        <w:t>年</w:t>
      </w:r>
      <w:r>
        <w:rPr>
          <w:rFonts w:ascii="Times New Roman" w:eastAsia="標楷體" w:hAnsi="標楷體" w:cs="Times New Roman"/>
          <w:color w:val="000000"/>
          <w:sz w:val="20"/>
          <w:szCs w:val="20"/>
        </w:rPr>
        <w:t>6</w:t>
      </w:r>
      <w:r>
        <w:rPr>
          <w:rFonts w:ascii="Times New Roman" w:eastAsia="標楷體" w:hAnsi="標楷體" w:cs="Times New Roman" w:hint="eastAsia"/>
          <w:color w:val="000000"/>
          <w:sz w:val="20"/>
          <w:szCs w:val="20"/>
        </w:rPr>
        <w:t>月</w:t>
      </w:r>
      <w:r>
        <w:rPr>
          <w:rFonts w:ascii="Times New Roman" w:eastAsia="標楷體" w:hAnsi="標楷體" w:cs="Times New Roman"/>
          <w:color w:val="000000"/>
          <w:sz w:val="20"/>
          <w:szCs w:val="20"/>
        </w:rPr>
        <w:t>26</w:t>
      </w:r>
      <w:r>
        <w:rPr>
          <w:rFonts w:ascii="Times New Roman" w:eastAsia="標楷體" w:hAnsi="標楷體" w:cs="Times New Roman" w:hint="eastAsia"/>
          <w:color w:val="000000"/>
          <w:sz w:val="20"/>
          <w:szCs w:val="20"/>
        </w:rPr>
        <w:t>日校長核定，</w:t>
      </w:r>
      <w:r>
        <w:rPr>
          <w:rFonts w:ascii="Times New Roman" w:eastAsia="標楷體" w:hAnsi="標楷體" w:cs="Times New Roman"/>
          <w:color w:val="000000"/>
          <w:sz w:val="20"/>
          <w:szCs w:val="20"/>
        </w:rPr>
        <w:t>104</w:t>
      </w:r>
      <w:r>
        <w:rPr>
          <w:rFonts w:ascii="Times New Roman" w:eastAsia="標楷體" w:hAnsi="標楷體" w:cs="Times New Roman" w:hint="eastAsia"/>
          <w:color w:val="000000"/>
          <w:sz w:val="20"/>
          <w:szCs w:val="20"/>
        </w:rPr>
        <w:t>年</w:t>
      </w:r>
      <w:r>
        <w:rPr>
          <w:rFonts w:ascii="Times New Roman" w:eastAsia="標楷體" w:hAnsi="標楷體" w:cs="Times New Roman"/>
          <w:color w:val="000000"/>
          <w:sz w:val="20"/>
          <w:szCs w:val="20"/>
        </w:rPr>
        <w:t>6</w:t>
      </w:r>
      <w:r>
        <w:rPr>
          <w:rFonts w:ascii="Times New Roman" w:eastAsia="標楷體" w:hAnsi="標楷體" w:cs="Times New Roman" w:hint="eastAsia"/>
          <w:color w:val="000000"/>
          <w:sz w:val="20"/>
          <w:szCs w:val="20"/>
        </w:rPr>
        <w:t>月</w:t>
      </w:r>
      <w:r>
        <w:rPr>
          <w:rFonts w:ascii="Times New Roman" w:eastAsia="標楷體" w:hAnsi="標楷體" w:cs="Times New Roman"/>
          <w:color w:val="000000"/>
          <w:sz w:val="20"/>
          <w:szCs w:val="20"/>
        </w:rPr>
        <w:t>30</w:t>
      </w:r>
      <w:r>
        <w:rPr>
          <w:rFonts w:ascii="Times New Roman" w:eastAsia="標楷體" w:hAnsi="標楷體" w:cs="Times New Roman" w:hint="eastAsia"/>
          <w:color w:val="000000"/>
          <w:sz w:val="20"/>
          <w:szCs w:val="20"/>
        </w:rPr>
        <w:t>日發布</w:t>
      </w:r>
      <w:r w:rsidRPr="00E46F9C">
        <w:rPr>
          <w:rFonts w:ascii="Times New Roman" w:eastAsia="標楷體" w:hAnsi="標楷體" w:cs="Times New Roman" w:hint="eastAsia"/>
          <w:color w:val="000000"/>
          <w:sz w:val="20"/>
          <w:szCs w:val="20"/>
        </w:rPr>
        <w:t>。</w:t>
      </w:r>
    </w:p>
    <w:p w:rsidR="001C5C2E" w:rsidRDefault="001C5C2E" w:rsidP="0009456B">
      <w:pPr>
        <w:pStyle w:val="Web"/>
        <w:spacing w:before="0" w:beforeAutospacing="0" w:after="0" w:afterAutospacing="0" w:line="240" w:lineRule="atLeast"/>
        <w:jc w:val="both"/>
        <w:rPr>
          <w:rFonts w:ascii="Times New Roman" w:eastAsia="標楷體" w:hAnsi="標楷體" w:cs="Times New Roman"/>
          <w:b/>
          <w:color w:val="000000"/>
          <w:sz w:val="20"/>
          <w:szCs w:val="20"/>
          <w:u w:val="single"/>
        </w:rPr>
      </w:pPr>
    </w:p>
    <w:p w:rsidR="001C5C2E" w:rsidRPr="00E46F9C" w:rsidRDefault="001C5C2E" w:rsidP="00E46F9C">
      <w:pPr>
        <w:pStyle w:val="Web"/>
        <w:spacing w:before="0" w:beforeAutospacing="0" w:after="0" w:afterAutospacing="0" w:line="440" w:lineRule="atLeast"/>
        <w:ind w:left="754" w:hangingChars="314" w:hanging="754"/>
        <w:jc w:val="both"/>
        <w:rPr>
          <w:rFonts w:ascii="Times New Roman" w:eastAsia="標楷體" w:hAnsi="標楷體"/>
          <w:color w:val="000000"/>
          <w:spacing w:val="-6"/>
        </w:rPr>
      </w:pPr>
      <w:r w:rsidRPr="00333F29">
        <w:rPr>
          <w:rFonts w:ascii="Times New Roman" w:eastAsia="標楷體" w:hAnsi="標楷體" w:hint="eastAsia"/>
          <w:color w:val="000000"/>
        </w:rPr>
        <w:t>第一條</w:t>
      </w:r>
      <w:r>
        <w:rPr>
          <w:rFonts w:ascii="Times New Roman" w:eastAsia="標楷體" w:hAnsi="標楷體" w:hint="eastAsia"/>
          <w:color w:val="000000"/>
        </w:rPr>
        <w:t xml:space="preserve">　　</w:t>
      </w:r>
      <w:r w:rsidRPr="00E46F9C">
        <w:rPr>
          <w:rFonts w:ascii="Times New Roman" w:eastAsia="標楷體" w:hAnsi="標楷體" w:hint="eastAsia"/>
          <w:color w:val="000000"/>
          <w:spacing w:val="-6"/>
        </w:rPr>
        <w:t>本辦法依據國立高雄大學</w:t>
      </w:r>
      <w:r w:rsidRPr="00E46F9C">
        <w:rPr>
          <w:rFonts w:ascii="Times New Roman" w:eastAsia="標楷體" w:hAnsi="Times New Roman"/>
          <w:color w:val="000000"/>
          <w:spacing w:val="-6"/>
        </w:rPr>
        <w:t>(</w:t>
      </w:r>
      <w:r w:rsidRPr="00E46F9C">
        <w:rPr>
          <w:rFonts w:ascii="Times New Roman" w:eastAsia="標楷體" w:hAnsi="標楷體" w:hint="eastAsia"/>
          <w:color w:val="000000"/>
          <w:spacing w:val="-6"/>
        </w:rPr>
        <w:t>以下簡稱本校</w:t>
      </w:r>
      <w:r w:rsidRPr="00E46F9C">
        <w:rPr>
          <w:rFonts w:ascii="Times New Roman" w:eastAsia="標楷體" w:hAnsi="Times New Roman"/>
          <w:color w:val="000000"/>
          <w:spacing w:val="-6"/>
        </w:rPr>
        <w:t>)</w:t>
      </w:r>
      <w:r w:rsidRPr="00E46F9C">
        <w:rPr>
          <w:rFonts w:ascii="Times New Roman" w:eastAsia="標楷體" w:hAnsi="標楷體" w:hint="eastAsia"/>
          <w:color w:val="000000"/>
          <w:spacing w:val="-6"/>
        </w:rPr>
        <w:t>課程委員會設置辦法第四條訂定之。</w:t>
      </w:r>
    </w:p>
    <w:p w:rsidR="001C5C2E" w:rsidRPr="00333F29" w:rsidRDefault="001C5C2E" w:rsidP="00E46F9C">
      <w:pPr>
        <w:pStyle w:val="a5"/>
        <w:snapToGrid w:val="0"/>
        <w:spacing w:line="440" w:lineRule="atLeast"/>
        <w:ind w:leftChars="0" w:left="0" w:rightChars="118" w:right="283"/>
        <w:jc w:val="both"/>
        <w:rPr>
          <w:rFonts w:ascii="Times New Roman" w:eastAsia="標楷體" w:hAnsi="Times New Roman"/>
          <w:color w:val="000000"/>
          <w:szCs w:val="24"/>
        </w:rPr>
      </w:pPr>
      <w:r w:rsidRPr="00333F29">
        <w:rPr>
          <w:rFonts w:ascii="Times New Roman" w:eastAsia="標楷體" w:hAnsi="標楷體" w:hint="eastAsia"/>
          <w:color w:val="000000"/>
          <w:kern w:val="0"/>
          <w:szCs w:val="24"/>
        </w:rPr>
        <w:t>第二條</w:t>
      </w:r>
      <w:r>
        <w:rPr>
          <w:rFonts w:ascii="Times New Roman" w:eastAsia="標楷體" w:hAnsi="標楷體" w:hint="eastAsia"/>
          <w:color w:val="000000"/>
        </w:rPr>
        <w:t xml:space="preserve">　　</w:t>
      </w:r>
      <w:r w:rsidRPr="00333F29">
        <w:rPr>
          <w:rFonts w:ascii="Times New Roman" w:eastAsia="標楷體" w:hAnsi="標楷體" w:hint="eastAsia"/>
          <w:color w:val="000000"/>
          <w:szCs w:val="24"/>
        </w:rPr>
        <w:t>本委員會之職掌如下：</w:t>
      </w:r>
    </w:p>
    <w:p w:rsidR="001C5C2E" w:rsidRPr="00E46F9C" w:rsidRDefault="001C5C2E" w:rsidP="000152B7">
      <w:pPr>
        <w:widowControl/>
        <w:snapToGrid w:val="0"/>
        <w:spacing w:line="440" w:lineRule="atLeast"/>
        <w:ind w:leftChars="531" w:left="1840" w:hangingChars="236" w:hanging="566"/>
        <w:rPr>
          <w:rFonts w:ascii="標楷體" w:eastAsia="標楷體" w:hAnsi="標楷體"/>
          <w:color w:val="000000"/>
          <w:kern w:val="0"/>
          <w:szCs w:val="24"/>
        </w:rPr>
      </w:pPr>
      <w:r w:rsidRPr="00E46F9C">
        <w:rPr>
          <w:rFonts w:ascii="標楷體" w:eastAsia="標楷體" w:hAnsi="標楷體" w:hint="eastAsia"/>
          <w:color w:val="000000"/>
          <w:kern w:val="0"/>
          <w:szCs w:val="24"/>
        </w:rPr>
        <w:t>一、規劃通識教育中心課程基本原則及發展方向。</w:t>
      </w:r>
    </w:p>
    <w:p w:rsidR="001C5C2E" w:rsidRPr="00E46F9C" w:rsidRDefault="001C5C2E" w:rsidP="000152B7">
      <w:pPr>
        <w:widowControl/>
        <w:snapToGrid w:val="0"/>
        <w:spacing w:line="440" w:lineRule="atLeast"/>
        <w:ind w:leftChars="531" w:left="1840" w:hangingChars="236" w:hanging="566"/>
        <w:rPr>
          <w:rFonts w:ascii="標楷體" w:eastAsia="標楷體" w:hAnsi="標楷體"/>
          <w:color w:val="000000"/>
          <w:kern w:val="0"/>
          <w:szCs w:val="24"/>
        </w:rPr>
      </w:pPr>
      <w:r w:rsidRPr="00E46F9C">
        <w:rPr>
          <w:rFonts w:ascii="標楷體" w:eastAsia="標楷體" w:hAnsi="標楷體" w:hint="eastAsia"/>
          <w:color w:val="000000"/>
          <w:kern w:val="0"/>
          <w:szCs w:val="24"/>
        </w:rPr>
        <w:t>二、規劃通識教育中心課程結構（含共同必修、核心通識課程、進階通識課程及學分數、學程）。</w:t>
      </w:r>
    </w:p>
    <w:p w:rsidR="001C5C2E" w:rsidRPr="00E46F9C" w:rsidRDefault="001C5C2E" w:rsidP="000152B7">
      <w:pPr>
        <w:widowControl/>
        <w:snapToGrid w:val="0"/>
        <w:spacing w:line="440" w:lineRule="atLeast"/>
        <w:ind w:leftChars="531" w:left="1840" w:hangingChars="236" w:hanging="566"/>
        <w:rPr>
          <w:rFonts w:ascii="標楷體" w:eastAsia="標楷體" w:hAnsi="標楷體"/>
          <w:color w:val="000000"/>
          <w:kern w:val="0"/>
          <w:szCs w:val="24"/>
        </w:rPr>
      </w:pPr>
      <w:r w:rsidRPr="00E46F9C">
        <w:rPr>
          <w:rFonts w:ascii="標楷體" w:eastAsia="標楷體" w:hAnsi="標楷體" w:hint="eastAsia"/>
          <w:color w:val="000000"/>
          <w:kern w:val="0"/>
          <w:szCs w:val="24"/>
        </w:rPr>
        <w:t>三、定期檢討通識教育中心開設課程（包含必、選修學分之配置，先修、擋修課程之認定，及授課時數與課程內容銜接性等）。</w:t>
      </w:r>
    </w:p>
    <w:p w:rsidR="001C5C2E" w:rsidRPr="00E46F9C" w:rsidRDefault="001C5C2E" w:rsidP="000152B7">
      <w:pPr>
        <w:widowControl/>
        <w:snapToGrid w:val="0"/>
        <w:spacing w:line="440" w:lineRule="atLeast"/>
        <w:ind w:leftChars="531" w:left="1840" w:hangingChars="236" w:hanging="566"/>
        <w:rPr>
          <w:rFonts w:ascii="標楷體" w:eastAsia="標楷體" w:hAnsi="標楷體"/>
          <w:color w:val="000000"/>
          <w:kern w:val="0"/>
          <w:szCs w:val="24"/>
        </w:rPr>
      </w:pPr>
      <w:r w:rsidRPr="00E46F9C">
        <w:rPr>
          <w:rFonts w:ascii="標楷體" w:eastAsia="標楷體" w:hAnsi="標楷體" w:hint="eastAsia"/>
          <w:color w:val="000000"/>
          <w:kern w:val="0"/>
          <w:szCs w:val="24"/>
        </w:rPr>
        <w:t>四、通識教育中心中、英文課程名稱、課程內容及課程大綱之審查。</w:t>
      </w:r>
    </w:p>
    <w:p w:rsidR="001C5C2E" w:rsidRPr="00E46F9C" w:rsidRDefault="001C5C2E" w:rsidP="000152B7">
      <w:pPr>
        <w:widowControl/>
        <w:snapToGrid w:val="0"/>
        <w:spacing w:line="440" w:lineRule="atLeast"/>
        <w:ind w:leftChars="531" w:left="1840" w:hangingChars="236" w:hanging="566"/>
        <w:rPr>
          <w:rFonts w:ascii="標楷體" w:eastAsia="標楷體" w:hAnsi="標楷體"/>
          <w:color w:val="000000"/>
          <w:kern w:val="0"/>
          <w:szCs w:val="24"/>
        </w:rPr>
      </w:pPr>
      <w:r w:rsidRPr="00E46F9C">
        <w:rPr>
          <w:rFonts w:ascii="標楷體" w:eastAsia="標楷體" w:hAnsi="標楷體" w:hint="eastAsia"/>
          <w:color w:val="000000"/>
          <w:kern w:val="0"/>
          <w:szCs w:val="24"/>
        </w:rPr>
        <w:t>五、協調各系（所）支援開設課程。</w:t>
      </w:r>
    </w:p>
    <w:p w:rsidR="001C5C2E" w:rsidRPr="00E46F9C" w:rsidRDefault="001C5C2E" w:rsidP="000152B7">
      <w:pPr>
        <w:widowControl/>
        <w:snapToGrid w:val="0"/>
        <w:spacing w:line="440" w:lineRule="atLeast"/>
        <w:ind w:leftChars="531" w:left="1840" w:hangingChars="236" w:hanging="566"/>
        <w:rPr>
          <w:rFonts w:ascii="標楷體" w:eastAsia="標楷體" w:hAnsi="標楷體"/>
          <w:kern w:val="0"/>
        </w:rPr>
      </w:pPr>
      <w:r w:rsidRPr="00E46F9C">
        <w:rPr>
          <w:rFonts w:ascii="標楷體" w:eastAsia="標楷體" w:hAnsi="標楷體" w:hint="eastAsia"/>
          <w:kern w:val="0"/>
        </w:rPr>
        <w:t>六、規劃排課時段，協調排課爭議。</w:t>
      </w:r>
    </w:p>
    <w:p w:rsidR="001C5C2E" w:rsidRDefault="001C5C2E" w:rsidP="000152B7">
      <w:pPr>
        <w:widowControl/>
        <w:snapToGrid w:val="0"/>
        <w:spacing w:line="440" w:lineRule="atLeast"/>
        <w:ind w:leftChars="531" w:left="1840" w:hangingChars="236" w:hanging="566"/>
        <w:rPr>
          <w:rFonts w:ascii="標楷體" w:eastAsia="標楷體" w:hAnsi="標楷體"/>
          <w:kern w:val="0"/>
        </w:rPr>
      </w:pPr>
      <w:r w:rsidRPr="00E46F9C">
        <w:rPr>
          <w:rFonts w:ascii="標楷體" w:eastAsia="標楷體" w:hAnsi="標楷體" w:hint="eastAsia"/>
          <w:kern w:val="0"/>
        </w:rPr>
        <w:t>七、其他課程相關事宜。</w:t>
      </w:r>
    </w:p>
    <w:p w:rsidR="001C5C2E" w:rsidRPr="00E46F9C" w:rsidRDefault="001C5C2E" w:rsidP="00E46F9C">
      <w:pPr>
        <w:widowControl/>
        <w:snapToGrid w:val="0"/>
        <w:spacing w:line="440" w:lineRule="atLeast"/>
        <w:ind w:left="706" w:hangingChars="294" w:hanging="706"/>
        <w:rPr>
          <w:rFonts w:ascii="Times New Roman" w:eastAsia="標楷體" w:hAnsi="標楷體"/>
          <w:color w:val="000000"/>
          <w:spacing w:val="-14"/>
          <w:kern w:val="0"/>
          <w:szCs w:val="24"/>
        </w:rPr>
      </w:pPr>
      <w:r w:rsidRPr="00333F29">
        <w:rPr>
          <w:rFonts w:ascii="Times New Roman" w:eastAsia="標楷體" w:hAnsi="標楷體" w:hint="eastAsia"/>
          <w:color w:val="000000"/>
          <w:kern w:val="0"/>
          <w:szCs w:val="24"/>
        </w:rPr>
        <w:t>第三條</w:t>
      </w:r>
      <w:r>
        <w:rPr>
          <w:rFonts w:ascii="Times New Roman" w:eastAsia="標楷體" w:hAnsi="標楷體" w:hint="eastAsia"/>
          <w:color w:val="000000"/>
          <w:kern w:val="0"/>
          <w:szCs w:val="24"/>
        </w:rPr>
        <w:t xml:space="preserve">　　</w:t>
      </w:r>
      <w:r w:rsidRPr="00E46F9C">
        <w:rPr>
          <w:rFonts w:ascii="Times New Roman" w:eastAsia="標楷體" w:hAnsi="標楷體" w:hint="eastAsia"/>
          <w:color w:val="000000"/>
          <w:spacing w:val="-14"/>
          <w:kern w:val="0"/>
          <w:szCs w:val="24"/>
        </w:rPr>
        <w:t>本委員會置委員若干人，由本中心主任、教師代表四人、各學院選任代表一人、學生會會長及校外專家學者</w:t>
      </w:r>
      <w:r w:rsidRPr="00E46F9C">
        <w:rPr>
          <w:rFonts w:ascii="Times New Roman" w:eastAsia="標楷體" w:hAnsi="標楷體"/>
          <w:color w:val="000000"/>
          <w:spacing w:val="-14"/>
          <w:kern w:val="0"/>
          <w:szCs w:val="24"/>
        </w:rPr>
        <w:t>(</w:t>
      </w:r>
      <w:r w:rsidRPr="00E46F9C">
        <w:rPr>
          <w:rFonts w:ascii="Times New Roman" w:eastAsia="標楷體" w:hAnsi="標楷體" w:hint="eastAsia"/>
          <w:color w:val="000000"/>
          <w:spacing w:val="-14"/>
          <w:kern w:val="0"/>
          <w:szCs w:val="24"/>
        </w:rPr>
        <w:t>或校友或業師</w:t>
      </w:r>
      <w:proofErr w:type="gramStart"/>
      <w:r w:rsidRPr="00E46F9C">
        <w:rPr>
          <w:rFonts w:ascii="Times New Roman" w:eastAsia="標楷體" w:hAnsi="標楷體" w:hint="eastAsia"/>
          <w:color w:val="000000"/>
          <w:spacing w:val="-14"/>
          <w:kern w:val="0"/>
          <w:szCs w:val="24"/>
        </w:rPr>
        <w:t>）</w:t>
      </w:r>
      <w:proofErr w:type="gramEnd"/>
      <w:r w:rsidRPr="00E46F9C">
        <w:rPr>
          <w:rFonts w:ascii="Times New Roman" w:eastAsia="標楷體" w:hAnsi="Times New Roman"/>
          <w:color w:val="000000"/>
          <w:spacing w:val="-14"/>
          <w:kern w:val="0"/>
          <w:szCs w:val="24"/>
        </w:rPr>
        <w:t>1</w:t>
      </w:r>
      <w:r w:rsidRPr="00E46F9C">
        <w:rPr>
          <w:rFonts w:ascii="Times New Roman" w:eastAsia="標楷體" w:hAnsi="標楷體" w:hint="eastAsia"/>
          <w:color w:val="000000"/>
          <w:spacing w:val="-14"/>
          <w:kern w:val="0"/>
          <w:szCs w:val="24"/>
        </w:rPr>
        <w:t>人組成，並以主任為主任委員兼召集人。</w:t>
      </w:r>
    </w:p>
    <w:p w:rsidR="001C5C2E" w:rsidRPr="00E46F9C" w:rsidRDefault="001C5C2E" w:rsidP="00E46F9C">
      <w:pPr>
        <w:widowControl/>
        <w:snapToGrid w:val="0"/>
        <w:spacing w:line="440" w:lineRule="atLeast"/>
        <w:ind w:leftChars="294" w:left="706" w:firstLineChars="210" w:firstLine="504"/>
        <w:rPr>
          <w:rFonts w:ascii="Times New Roman" w:eastAsia="標楷體" w:hAnsi="標楷體"/>
          <w:color w:val="000000"/>
          <w:kern w:val="0"/>
          <w:szCs w:val="24"/>
        </w:rPr>
      </w:pPr>
      <w:r w:rsidRPr="00E46F9C">
        <w:rPr>
          <w:rFonts w:ascii="Times New Roman" w:eastAsia="標楷體" w:hAnsi="標楷體" w:hint="eastAsia"/>
          <w:color w:val="000000"/>
          <w:kern w:val="0"/>
          <w:szCs w:val="24"/>
        </w:rPr>
        <w:t>主任委員之任期從其職務任期，教師代表由中心會議推選之，任期一年，選任代表及校外專家學者（或校友或業師）之任期二年，得連選連任。</w:t>
      </w:r>
    </w:p>
    <w:p w:rsidR="001C5C2E" w:rsidRPr="00E46F9C" w:rsidRDefault="001C5C2E" w:rsidP="00E46F9C">
      <w:pPr>
        <w:widowControl/>
        <w:snapToGrid w:val="0"/>
        <w:spacing w:line="440" w:lineRule="atLeast"/>
        <w:ind w:leftChars="294" w:left="706" w:firstLineChars="210" w:firstLine="504"/>
        <w:rPr>
          <w:rFonts w:ascii="Times New Roman" w:eastAsia="標楷體" w:hAnsi="標楷體"/>
          <w:color w:val="000000"/>
          <w:kern w:val="0"/>
          <w:szCs w:val="24"/>
        </w:rPr>
      </w:pPr>
      <w:r w:rsidRPr="00E46F9C">
        <w:rPr>
          <w:rFonts w:ascii="Times New Roman" w:eastAsia="標楷體" w:hAnsi="標楷體" w:hint="eastAsia"/>
          <w:color w:val="000000"/>
          <w:kern w:val="0"/>
          <w:szCs w:val="24"/>
        </w:rPr>
        <w:t>本委員會得視需要邀請相關人員列席或提供資料。</w:t>
      </w:r>
    </w:p>
    <w:p w:rsidR="001C5C2E" w:rsidRPr="00E46F9C" w:rsidRDefault="001C5C2E" w:rsidP="00E46F9C">
      <w:pPr>
        <w:widowControl/>
        <w:snapToGrid w:val="0"/>
        <w:spacing w:line="440" w:lineRule="atLeast"/>
        <w:rPr>
          <w:rFonts w:ascii="Times New Roman" w:eastAsia="標楷體" w:hAnsi="標楷體"/>
          <w:color w:val="000000"/>
          <w:spacing w:val="-8"/>
          <w:kern w:val="0"/>
          <w:szCs w:val="24"/>
        </w:rPr>
      </w:pPr>
      <w:r w:rsidRPr="00E46F9C">
        <w:rPr>
          <w:rFonts w:ascii="Times New Roman" w:eastAsia="標楷體" w:hAnsi="標楷體" w:hint="eastAsia"/>
          <w:color w:val="000000"/>
          <w:kern w:val="0"/>
          <w:szCs w:val="24"/>
        </w:rPr>
        <w:t xml:space="preserve">第四條　　</w:t>
      </w:r>
      <w:r w:rsidRPr="00E46F9C">
        <w:rPr>
          <w:rFonts w:ascii="Times New Roman" w:eastAsia="標楷體" w:hAnsi="標楷體" w:hint="eastAsia"/>
          <w:color w:val="000000"/>
          <w:spacing w:val="-8"/>
          <w:kern w:val="0"/>
          <w:szCs w:val="24"/>
        </w:rPr>
        <w:t>本委員會每學期至少召開會議一次，必要時得召開臨時會議。</w:t>
      </w:r>
    </w:p>
    <w:p w:rsidR="001C5C2E" w:rsidRPr="00E46F9C" w:rsidRDefault="001C5C2E" w:rsidP="00E46F9C">
      <w:pPr>
        <w:widowControl/>
        <w:snapToGrid w:val="0"/>
        <w:spacing w:line="440" w:lineRule="atLeast"/>
        <w:ind w:left="706" w:hangingChars="294" w:hanging="706"/>
        <w:rPr>
          <w:rFonts w:ascii="Times New Roman" w:eastAsia="標楷體" w:hAnsi="標楷體"/>
          <w:color w:val="000000"/>
          <w:kern w:val="0"/>
          <w:szCs w:val="24"/>
        </w:rPr>
      </w:pPr>
      <w:r w:rsidRPr="00E46F9C">
        <w:rPr>
          <w:rFonts w:ascii="Times New Roman" w:eastAsia="標楷體" w:hAnsi="標楷體" w:hint="eastAsia"/>
          <w:color w:val="000000"/>
          <w:kern w:val="0"/>
          <w:szCs w:val="24"/>
        </w:rPr>
        <w:t>第五條　　本委員會由主任委員擔任會議主席，主任委員不克出席時，由主任委員指定之代理人擔任主席。</w:t>
      </w:r>
    </w:p>
    <w:p w:rsidR="001C5C2E" w:rsidRPr="00E46F9C" w:rsidRDefault="001C5C2E" w:rsidP="00E46F9C">
      <w:pPr>
        <w:widowControl/>
        <w:snapToGrid w:val="0"/>
        <w:spacing w:line="440" w:lineRule="atLeast"/>
        <w:ind w:left="706" w:hangingChars="294" w:hanging="706"/>
        <w:rPr>
          <w:rFonts w:ascii="Times New Roman" w:eastAsia="標楷體" w:hAnsi="標楷體"/>
          <w:color w:val="000000"/>
          <w:kern w:val="0"/>
          <w:szCs w:val="24"/>
        </w:rPr>
      </w:pPr>
      <w:r w:rsidRPr="00E46F9C">
        <w:rPr>
          <w:rFonts w:ascii="Times New Roman" w:eastAsia="標楷體" w:hAnsi="標楷體" w:hint="eastAsia"/>
          <w:color w:val="000000"/>
          <w:kern w:val="0"/>
          <w:szCs w:val="24"/>
        </w:rPr>
        <w:t>第六條　　本委員會應有全體代表過半數出席始得開議，出席代表過半數之同意始得決議。主席原則上不加入表決，可否同數時，由主席加入可決或否決。</w:t>
      </w:r>
    </w:p>
    <w:p w:rsidR="001C5C2E" w:rsidRPr="00E46F9C" w:rsidRDefault="001C5C2E" w:rsidP="00E46F9C">
      <w:pPr>
        <w:pStyle w:val="Web"/>
        <w:snapToGrid w:val="0"/>
        <w:spacing w:before="0" w:beforeAutospacing="0" w:after="0" w:afterAutospacing="0" w:line="440" w:lineRule="atLeast"/>
        <w:ind w:leftChars="14" w:left="34"/>
        <w:rPr>
          <w:rFonts w:ascii="Times New Roman" w:eastAsia="標楷體" w:hAnsi="標楷體" w:cs="Times New Roman"/>
          <w:color w:val="000000"/>
        </w:rPr>
      </w:pPr>
      <w:r w:rsidRPr="00E46F9C">
        <w:rPr>
          <w:rFonts w:ascii="Times New Roman" w:eastAsia="標楷體" w:hAnsi="標楷體" w:hint="eastAsia"/>
          <w:color w:val="000000"/>
        </w:rPr>
        <w:t xml:space="preserve">第七條　　</w:t>
      </w:r>
      <w:r w:rsidRPr="00E46F9C">
        <w:rPr>
          <w:rFonts w:ascii="Times New Roman" w:eastAsia="標楷體" w:hAnsi="標楷體" w:cs="Times New Roman" w:hint="eastAsia"/>
          <w:color w:val="000000"/>
        </w:rPr>
        <w:t>本辦法經中心會議通過，教務會議備查，陳請校長核定後發布，修正時亦同。</w:t>
      </w:r>
    </w:p>
    <w:p w:rsidR="001C5C2E" w:rsidRPr="00E46F9C" w:rsidRDefault="001C5C2E" w:rsidP="00E46F9C">
      <w:pPr>
        <w:widowControl/>
        <w:snapToGrid w:val="0"/>
        <w:spacing w:line="440" w:lineRule="atLeast"/>
        <w:ind w:leftChars="294" w:left="706" w:firstLineChars="225" w:firstLine="540"/>
        <w:rPr>
          <w:rFonts w:ascii="標楷體" w:eastAsia="標楷體" w:hAnsi="標楷體"/>
          <w:sz w:val="16"/>
          <w:szCs w:val="16"/>
        </w:rPr>
      </w:pPr>
      <w:r w:rsidRPr="00E46F9C">
        <w:rPr>
          <w:rFonts w:ascii="Times New Roman" w:eastAsia="標楷體" w:hAnsi="標楷體" w:hint="eastAsia"/>
          <w:color w:val="000000"/>
        </w:rPr>
        <w:t>本辦法自發布日施行</w:t>
      </w:r>
    </w:p>
    <w:p w:rsidR="001C5C2E" w:rsidRPr="00333F29" w:rsidRDefault="001C5C2E" w:rsidP="0028009C">
      <w:pPr>
        <w:widowControl/>
        <w:shd w:val="clear" w:color="auto" w:fill="FFFFFF"/>
        <w:spacing w:line="260" w:lineRule="exact"/>
        <w:jc w:val="right"/>
        <w:rPr>
          <w:rFonts w:ascii="Times New Roman" w:eastAsia="標楷體" w:hAnsi="Times New Roman"/>
          <w:color w:val="000000"/>
          <w:kern w:val="0"/>
          <w:sz w:val="16"/>
          <w:szCs w:val="16"/>
        </w:rPr>
      </w:pPr>
    </w:p>
    <w:sectPr w:rsidR="001C5C2E" w:rsidRPr="00333F29" w:rsidSect="00C42ABF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43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7A0" w:rsidRDefault="00ED47A0" w:rsidP="00CD1257">
      <w:r>
        <w:separator/>
      </w:r>
    </w:p>
  </w:endnote>
  <w:endnote w:type="continuationSeparator" w:id="0">
    <w:p w:rsidR="00ED47A0" w:rsidRDefault="00ED47A0" w:rsidP="00CD12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標楷體e.桏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C2E" w:rsidRDefault="00521A0E" w:rsidP="00FD0F51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1C5C2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C5C2E" w:rsidRDefault="001C5C2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C2E" w:rsidRDefault="00521A0E">
    <w:pPr>
      <w:pStyle w:val="a8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08.5pt;margin-top:-13.6pt;width:51pt;height:19.4pt;z-index:1">
          <v:textbox style="layout-flow:vertical">
            <w:txbxContent>
              <w:p w:rsidR="001C5C2E" w:rsidRPr="003F13E4" w:rsidRDefault="001C5C2E" w:rsidP="0043008E">
                <w:pPr>
                  <w:spacing w:line="240" w:lineRule="exact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hint="eastAsia"/>
                  </w:rPr>
                  <w:t>附件</w:t>
                </w:r>
                <w:r>
                  <w:rPr>
                    <w:sz w:val="20"/>
                    <w:szCs w:val="20"/>
                  </w:rPr>
                  <w:t>7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7A0" w:rsidRDefault="00ED47A0" w:rsidP="00CD1257">
      <w:r>
        <w:separator/>
      </w:r>
    </w:p>
  </w:footnote>
  <w:footnote w:type="continuationSeparator" w:id="0">
    <w:p w:rsidR="00ED47A0" w:rsidRDefault="00ED47A0" w:rsidP="00CD12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C2E" w:rsidRPr="00F809FD" w:rsidRDefault="001C5C2E" w:rsidP="0009456B">
    <w:pPr>
      <w:widowControl/>
      <w:shd w:val="clear" w:color="auto" w:fill="FFFFFF"/>
      <w:tabs>
        <w:tab w:val="left" w:pos="2055"/>
        <w:tab w:val="center" w:pos="7285"/>
      </w:tabs>
      <w:spacing w:line="440" w:lineRule="exact"/>
      <w:jc w:val="center"/>
      <w:rPr>
        <w:rFonts w:hAnsi="Times New Roman"/>
        <w:color w:val="0000FF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33E8"/>
    <w:multiLevelType w:val="hybridMultilevel"/>
    <w:tmpl w:val="95F2CCC8"/>
    <w:lvl w:ilvl="0" w:tplc="C6A43304">
      <w:start w:val="1"/>
      <w:numFmt w:val="taiwaneseCountingThousand"/>
      <w:lvlText w:val="(%1)"/>
      <w:lvlJc w:val="left"/>
      <w:pPr>
        <w:ind w:left="600" w:hanging="60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16876513"/>
    <w:multiLevelType w:val="hybridMultilevel"/>
    <w:tmpl w:val="26025DD2"/>
    <w:lvl w:ilvl="0" w:tplc="C14036C4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cs="細明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16BF5F1D"/>
    <w:multiLevelType w:val="hybridMultilevel"/>
    <w:tmpl w:val="2B4C697A"/>
    <w:lvl w:ilvl="0" w:tplc="9E048576">
      <w:start w:val="1"/>
      <w:numFmt w:val="taiwaneseCountingThousand"/>
      <w:lvlText w:val="（%1）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2BE64FA7"/>
    <w:multiLevelType w:val="hybridMultilevel"/>
    <w:tmpl w:val="40AEADC0"/>
    <w:lvl w:ilvl="0" w:tplc="B3C885F4">
      <w:start w:val="1"/>
      <w:numFmt w:val="taiwaneseCountingThousand"/>
      <w:lvlText w:val="%1、"/>
      <w:lvlJc w:val="left"/>
      <w:pPr>
        <w:ind w:left="581" w:hanging="450"/>
      </w:pPr>
      <w:rPr>
        <w:rFonts w:ascii="新細明體" w:eastAsia="新細明體" w:hAnsi="新細明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7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5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3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1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9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7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51" w:hanging="480"/>
      </w:pPr>
      <w:rPr>
        <w:rFonts w:cs="Times New Roman"/>
      </w:rPr>
    </w:lvl>
  </w:abstractNum>
  <w:abstractNum w:abstractNumId="4">
    <w:nsid w:val="3AD40B4A"/>
    <w:multiLevelType w:val="hybridMultilevel"/>
    <w:tmpl w:val="CD40B4E2"/>
    <w:lvl w:ilvl="0" w:tplc="1DC0B058">
      <w:start w:val="1"/>
      <w:numFmt w:val="taiwaneseCountingThousand"/>
      <w:lvlText w:val="(%1)"/>
      <w:lvlJc w:val="left"/>
      <w:pPr>
        <w:ind w:left="600" w:hanging="60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402213F6"/>
    <w:multiLevelType w:val="hybridMultilevel"/>
    <w:tmpl w:val="E1922C9A"/>
    <w:lvl w:ilvl="0" w:tplc="FCE0C9F2">
      <w:start w:val="1"/>
      <w:numFmt w:val="taiwaneseCountingThousand"/>
      <w:lvlText w:val="(%1)"/>
      <w:lvlJc w:val="left"/>
      <w:pPr>
        <w:ind w:left="600" w:hanging="60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4C174A35"/>
    <w:multiLevelType w:val="hybridMultilevel"/>
    <w:tmpl w:val="2A268156"/>
    <w:lvl w:ilvl="0" w:tplc="8A48692C">
      <w:start w:val="1"/>
      <w:numFmt w:val="taiwaneseCountingThousand"/>
      <w:lvlText w:val="(%1)"/>
      <w:lvlJc w:val="left"/>
      <w:pPr>
        <w:ind w:left="600" w:hanging="60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4D4D3D01"/>
    <w:multiLevelType w:val="hybridMultilevel"/>
    <w:tmpl w:val="40AEADC0"/>
    <w:lvl w:ilvl="0" w:tplc="B3C885F4">
      <w:start w:val="1"/>
      <w:numFmt w:val="taiwaneseCountingThousand"/>
      <w:lvlText w:val="%1、"/>
      <w:lvlJc w:val="left"/>
      <w:pPr>
        <w:ind w:left="581" w:hanging="450"/>
      </w:pPr>
      <w:rPr>
        <w:rFonts w:ascii="新細明體" w:eastAsia="新細明體" w:hAnsi="新細明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7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5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3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1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9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7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51" w:hanging="480"/>
      </w:pPr>
      <w:rPr>
        <w:rFonts w:cs="Times New Roman"/>
      </w:rPr>
    </w:lvl>
  </w:abstractNum>
  <w:abstractNum w:abstractNumId="8">
    <w:nsid w:val="5029774C"/>
    <w:multiLevelType w:val="hybridMultilevel"/>
    <w:tmpl w:val="40AEADC0"/>
    <w:lvl w:ilvl="0" w:tplc="B3C885F4">
      <w:start w:val="1"/>
      <w:numFmt w:val="taiwaneseCountingThousand"/>
      <w:lvlText w:val="%1、"/>
      <w:lvlJc w:val="left"/>
      <w:pPr>
        <w:ind w:left="581" w:hanging="450"/>
      </w:pPr>
      <w:rPr>
        <w:rFonts w:ascii="新細明體" w:eastAsia="新細明體" w:hAnsi="新細明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7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5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3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1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9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7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51" w:hanging="480"/>
      </w:pPr>
      <w:rPr>
        <w:rFonts w:cs="Times New Roman"/>
      </w:rPr>
    </w:lvl>
  </w:abstractNum>
  <w:abstractNum w:abstractNumId="9">
    <w:nsid w:val="59833BE2"/>
    <w:multiLevelType w:val="hybridMultilevel"/>
    <w:tmpl w:val="26723B82"/>
    <w:lvl w:ilvl="0" w:tplc="F20659A2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94"/>
        </w:tabs>
        <w:ind w:left="99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74"/>
        </w:tabs>
        <w:ind w:left="147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54"/>
        </w:tabs>
        <w:ind w:left="195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34"/>
        </w:tabs>
        <w:ind w:left="243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14"/>
        </w:tabs>
        <w:ind w:left="291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94"/>
        </w:tabs>
        <w:ind w:left="339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74"/>
        </w:tabs>
        <w:ind w:left="387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54"/>
        </w:tabs>
        <w:ind w:left="4354" w:hanging="480"/>
      </w:pPr>
      <w:rPr>
        <w:rFonts w:cs="Times New Roman"/>
      </w:rPr>
    </w:lvl>
  </w:abstractNum>
  <w:abstractNum w:abstractNumId="10">
    <w:nsid w:val="5CF7484E"/>
    <w:multiLevelType w:val="hybridMultilevel"/>
    <w:tmpl w:val="095C7EEA"/>
    <w:lvl w:ilvl="0" w:tplc="738062E0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cs="細明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6FB6562B"/>
    <w:multiLevelType w:val="hybridMultilevel"/>
    <w:tmpl w:val="E1A61FBA"/>
    <w:lvl w:ilvl="0" w:tplc="3F5E697A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77"/>
        </w:tabs>
        <w:ind w:left="97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57"/>
        </w:tabs>
        <w:ind w:left="145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7"/>
        </w:tabs>
        <w:ind w:left="193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17"/>
        </w:tabs>
        <w:ind w:left="241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97"/>
        </w:tabs>
        <w:ind w:left="289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77"/>
        </w:tabs>
        <w:ind w:left="337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57"/>
        </w:tabs>
        <w:ind w:left="385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37"/>
        </w:tabs>
        <w:ind w:left="4337" w:hanging="480"/>
      </w:pPr>
      <w:rPr>
        <w:rFonts w:cs="Times New Roman"/>
      </w:rPr>
    </w:lvl>
  </w:abstractNum>
  <w:abstractNum w:abstractNumId="12">
    <w:nsid w:val="75213E1B"/>
    <w:multiLevelType w:val="hybridMultilevel"/>
    <w:tmpl w:val="8B887988"/>
    <w:lvl w:ilvl="0" w:tplc="FA1EDFB6">
      <w:start w:val="1"/>
      <w:numFmt w:val="taiwaneseCountingThousand"/>
      <w:lvlText w:val="(%1)"/>
      <w:lvlJc w:val="left"/>
      <w:pPr>
        <w:ind w:left="480" w:hanging="480"/>
      </w:pPr>
      <w:rPr>
        <w:rFonts w:ascii="新細明體" w:eastAsia="新細明體" w:hAnsi="新細明體" w:cs="細明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>
    <w:nsid w:val="763F1802"/>
    <w:multiLevelType w:val="hybridMultilevel"/>
    <w:tmpl w:val="5A5871BA"/>
    <w:lvl w:ilvl="0" w:tplc="64F0C27C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>
    <w:nsid w:val="787E505F"/>
    <w:multiLevelType w:val="hybridMultilevel"/>
    <w:tmpl w:val="7DA4723C"/>
    <w:lvl w:ilvl="0" w:tplc="D06422B6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cs="細明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>
    <w:nsid w:val="7E240749"/>
    <w:multiLevelType w:val="hybridMultilevel"/>
    <w:tmpl w:val="40AEADC0"/>
    <w:lvl w:ilvl="0" w:tplc="B3C885F4">
      <w:start w:val="1"/>
      <w:numFmt w:val="taiwaneseCountingThousand"/>
      <w:lvlText w:val="%1、"/>
      <w:lvlJc w:val="left"/>
      <w:pPr>
        <w:ind w:left="581" w:hanging="450"/>
      </w:pPr>
      <w:rPr>
        <w:rFonts w:ascii="新細明體" w:eastAsia="新細明體" w:hAnsi="新細明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7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5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3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1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9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7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51" w:hanging="4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3"/>
  </w:num>
  <w:num w:numId="4">
    <w:abstractNumId w:val="1"/>
  </w:num>
  <w:num w:numId="5">
    <w:abstractNumId w:val="6"/>
  </w:num>
  <w:num w:numId="6">
    <w:abstractNumId w:val="10"/>
  </w:num>
  <w:num w:numId="7">
    <w:abstractNumId w:val="4"/>
  </w:num>
  <w:num w:numId="8">
    <w:abstractNumId w:val="14"/>
  </w:num>
  <w:num w:numId="9">
    <w:abstractNumId w:val="5"/>
  </w:num>
  <w:num w:numId="10">
    <w:abstractNumId w:val="12"/>
  </w:num>
  <w:num w:numId="11">
    <w:abstractNumId w:val="9"/>
  </w:num>
  <w:num w:numId="12">
    <w:abstractNumId w:val="3"/>
  </w:num>
  <w:num w:numId="13">
    <w:abstractNumId w:val="7"/>
  </w:num>
  <w:num w:numId="14">
    <w:abstractNumId w:val="15"/>
  </w:num>
  <w:num w:numId="15">
    <w:abstractNumId w:val="8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oNotTrackMoves/>
  <w:defaultTabStop w:val="480"/>
  <w:drawingGridHorizontalSpacing w:val="2"/>
  <w:drawingGridVerticalSpacing w:val="4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6C10"/>
    <w:rsid w:val="000152B7"/>
    <w:rsid w:val="00060E7D"/>
    <w:rsid w:val="00065991"/>
    <w:rsid w:val="0007299C"/>
    <w:rsid w:val="00076496"/>
    <w:rsid w:val="00086180"/>
    <w:rsid w:val="00090841"/>
    <w:rsid w:val="0009456B"/>
    <w:rsid w:val="000951A5"/>
    <w:rsid w:val="000B070F"/>
    <w:rsid w:val="000B2F52"/>
    <w:rsid w:val="00102BF3"/>
    <w:rsid w:val="001372F1"/>
    <w:rsid w:val="00150486"/>
    <w:rsid w:val="001547B4"/>
    <w:rsid w:val="0016126B"/>
    <w:rsid w:val="00171ADE"/>
    <w:rsid w:val="00183D06"/>
    <w:rsid w:val="001C5C2E"/>
    <w:rsid w:val="001D39F0"/>
    <w:rsid w:val="001E7B22"/>
    <w:rsid w:val="001F3EDA"/>
    <w:rsid w:val="0024250F"/>
    <w:rsid w:val="00277CC7"/>
    <w:rsid w:val="0028009C"/>
    <w:rsid w:val="00280E98"/>
    <w:rsid w:val="0028730B"/>
    <w:rsid w:val="002B4CE8"/>
    <w:rsid w:val="002C01DF"/>
    <w:rsid w:val="002C0AAC"/>
    <w:rsid w:val="002C2700"/>
    <w:rsid w:val="002D4BB2"/>
    <w:rsid w:val="00333F29"/>
    <w:rsid w:val="003528E0"/>
    <w:rsid w:val="00394939"/>
    <w:rsid w:val="003C4C9D"/>
    <w:rsid w:val="003E2ECB"/>
    <w:rsid w:val="003F13E4"/>
    <w:rsid w:val="00412B34"/>
    <w:rsid w:val="0043008E"/>
    <w:rsid w:val="00430C2E"/>
    <w:rsid w:val="00435E85"/>
    <w:rsid w:val="00446F08"/>
    <w:rsid w:val="00471E85"/>
    <w:rsid w:val="004A6C10"/>
    <w:rsid w:val="004E7EDF"/>
    <w:rsid w:val="00521A0E"/>
    <w:rsid w:val="00566A61"/>
    <w:rsid w:val="00571ED6"/>
    <w:rsid w:val="00573D1F"/>
    <w:rsid w:val="00584E93"/>
    <w:rsid w:val="00596823"/>
    <w:rsid w:val="005A3A4D"/>
    <w:rsid w:val="005B2274"/>
    <w:rsid w:val="005C61D3"/>
    <w:rsid w:val="00600441"/>
    <w:rsid w:val="00603642"/>
    <w:rsid w:val="00622CC5"/>
    <w:rsid w:val="00634497"/>
    <w:rsid w:val="0064401A"/>
    <w:rsid w:val="00647DB8"/>
    <w:rsid w:val="00687E96"/>
    <w:rsid w:val="006B5E3D"/>
    <w:rsid w:val="006F0716"/>
    <w:rsid w:val="0070056E"/>
    <w:rsid w:val="007303BE"/>
    <w:rsid w:val="00730E69"/>
    <w:rsid w:val="00743DCB"/>
    <w:rsid w:val="0075226A"/>
    <w:rsid w:val="00755A54"/>
    <w:rsid w:val="008270A1"/>
    <w:rsid w:val="00842CAB"/>
    <w:rsid w:val="00856E01"/>
    <w:rsid w:val="008C763D"/>
    <w:rsid w:val="008F5DF0"/>
    <w:rsid w:val="009010A9"/>
    <w:rsid w:val="0090138F"/>
    <w:rsid w:val="00904128"/>
    <w:rsid w:val="00911275"/>
    <w:rsid w:val="00972845"/>
    <w:rsid w:val="009A51DF"/>
    <w:rsid w:val="009B1CEE"/>
    <w:rsid w:val="009B68B7"/>
    <w:rsid w:val="009C5C46"/>
    <w:rsid w:val="009E7AB8"/>
    <w:rsid w:val="00A06969"/>
    <w:rsid w:val="00A32F63"/>
    <w:rsid w:val="00A40D8D"/>
    <w:rsid w:val="00A833AD"/>
    <w:rsid w:val="00A9687F"/>
    <w:rsid w:val="00AB1146"/>
    <w:rsid w:val="00AD11C8"/>
    <w:rsid w:val="00AD57F5"/>
    <w:rsid w:val="00B248F3"/>
    <w:rsid w:val="00B417A1"/>
    <w:rsid w:val="00B41A06"/>
    <w:rsid w:val="00B874C8"/>
    <w:rsid w:val="00B90BA3"/>
    <w:rsid w:val="00BF40AD"/>
    <w:rsid w:val="00C03F37"/>
    <w:rsid w:val="00C1297B"/>
    <w:rsid w:val="00C40B06"/>
    <w:rsid w:val="00C42ABF"/>
    <w:rsid w:val="00C92DE6"/>
    <w:rsid w:val="00CB637A"/>
    <w:rsid w:val="00CC4E85"/>
    <w:rsid w:val="00CD1257"/>
    <w:rsid w:val="00CD733C"/>
    <w:rsid w:val="00CE795B"/>
    <w:rsid w:val="00CF5780"/>
    <w:rsid w:val="00D03CB3"/>
    <w:rsid w:val="00D05CB1"/>
    <w:rsid w:val="00D253BA"/>
    <w:rsid w:val="00D27491"/>
    <w:rsid w:val="00D32CD3"/>
    <w:rsid w:val="00D3602B"/>
    <w:rsid w:val="00D46D8F"/>
    <w:rsid w:val="00D649BE"/>
    <w:rsid w:val="00D81BB5"/>
    <w:rsid w:val="00D8323D"/>
    <w:rsid w:val="00D8678A"/>
    <w:rsid w:val="00D94018"/>
    <w:rsid w:val="00DC64AF"/>
    <w:rsid w:val="00DD217B"/>
    <w:rsid w:val="00DE009E"/>
    <w:rsid w:val="00DE370E"/>
    <w:rsid w:val="00DE42E0"/>
    <w:rsid w:val="00DE7A39"/>
    <w:rsid w:val="00E055B3"/>
    <w:rsid w:val="00E46F9C"/>
    <w:rsid w:val="00E5051C"/>
    <w:rsid w:val="00E81F8D"/>
    <w:rsid w:val="00E93B00"/>
    <w:rsid w:val="00ED47A0"/>
    <w:rsid w:val="00F015D8"/>
    <w:rsid w:val="00F16B5A"/>
    <w:rsid w:val="00F342BD"/>
    <w:rsid w:val="00F710A9"/>
    <w:rsid w:val="00F766F2"/>
    <w:rsid w:val="00F809FD"/>
    <w:rsid w:val="00F9528C"/>
    <w:rsid w:val="00FD0F51"/>
    <w:rsid w:val="00FD37EF"/>
    <w:rsid w:val="00FD7B6E"/>
    <w:rsid w:val="00FE13AF"/>
    <w:rsid w:val="00FE1ECE"/>
    <w:rsid w:val="00FE5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33C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4A6C1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3">
    <w:name w:val="Strong"/>
    <w:basedOn w:val="a0"/>
    <w:uiPriority w:val="99"/>
    <w:qFormat/>
    <w:rsid w:val="004A6C10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4A6C10"/>
    <w:rPr>
      <w:rFonts w:cs="Times New Roman"/>
    </w:rPr>
  </w:style>
  <w:style w:type="paragraph" w:styleId="HTML">
    <w:name w:val="HTML Preformatted"/>
    <w:basedOn w:val="a"/>
    <w:link w:val="HTML0"/>
    <w:uiPriority w:val="99"/>
    <w:rsid w:val="004A6C1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locked/>
    <w:rsid w:val="004A6C10"/>
    <w:rPr>
      <w:rFonts w:ascii="細明體" w:eastAsia="細明體" w:hAnsi="細明體" w:cs="細明體"/>
      <w:kern w:val="0"/>
      <w:sz w:val="24"/>
      <w:szCs w:val="24"/>
    </w:rPr>
  </w:style>
  <w:style w:type="character" w:styleId="a4">
    <w:name w:val="Hyperlink"/>
    <w:basedOn w:val="a0"/>
    <w:uiPriority w:val="99"/>
    <w:semiHidden/>
    <w:rsid w:val="004A6C10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CC4E85"/>
    <w:pPr>
      <w:ind w:leftChars="200" w:left="480"/>
    </w:pPr>
  </w:style>
  <w:style w:type="paragraph" w:styleId="a6">
    <w:name w:val="header"/>
    <w:basedOn w:val="a"/>
    <w:link w:val="a7"/>
    <w:uiPriority w:val="99"/>
    <w:semiHidden/>
    <w:rsid w:val="00CD12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locked/>
    <w:rsid w:val="00CD1257"/>
    <w:rPr>
      <w:rFonts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rsid w:val="00CD12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locked/>
    <w:rsid w:val="00CD1257"/>
    <w:rPr>
      <w:rFonts w:cs="Times New Roman"/>
      <w:sz w:val="20"/>
      <w:szCs w:val="20"/>
    </w:rPr>
  </w:style>
  <w:style w:type="paragraph" w:styleId="aa">
    <w:name w:val="No Spacing"/>
    <w:uiPriority w:val="99"/>
    <w:qFormat/>
    <w:rsid w:val="00D8323D"/>
    <w:pPr>
      <w:widowControl w:val="0"/>
    </w:pPr>
    <w:rPr>
      <w:kern w:val="2"/>
      <w:sz w:val="24"/>
      <w:szCs w:val="22"/>
    </w:rPr>
  </w:style>
  <w:style w:type="character" w:styleId="ab">
    <w:name w:val="page number"/>
    <w:basedOn w:val="a0"/>
    <w:uiPriority w:val="99"/>
    <w:rsid w:val="00C42AB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0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5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5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05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5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05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050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05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050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050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050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3050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050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3050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050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3050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3050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3050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3050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3050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3050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30509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668</Characters>
  <Application>Microsoft Office Word</Application>
  <DocSecurity>0</DocSecurity>
  <Lines>5</Lines>
  <Paragraphs>1</Paragraphs>
  <ScaleCrop>false</ScaleCrop>
  <Company>Sky123.Org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條次</dc:title>
  <dc:subject/>
  <dc:creator>superuser</dc:creator>
  <cp:keywords/>
  <dc:description/>
  <cp:lastModifiedBy>1</cp:lastModifiedBy>
  <cp:revision>4</cp:revision>
  <cp:lastPrinted>2015-06-30T00:46:00Z</cp:lastPrinted>
  <dcterms:created xsi:type="dcterms:W3CDTF">2015-06-30T01:42:00Z</dcterms:created>
  <dcterms:modified xsi:type="dcterms:W3CDTF">2016-01-27T05:46:00Z</dcterms:modified>
</cp:coreProperties>
</file>